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FDF" w:rsidRPr="00DA01A5" w:rsidRDefault="00490FDF" w:rsidP="00B17CA8">
      <w:pPr>
        <w:jc w:val="center"/>
        <w:rPr>
          <w:b/>
          <w:i/>
          <w:sz w:val="24"/>
          <w:szCs w:val="24"/>
        </w:rPr>
      </w:pPr>
      <w:r w:rsidRPr="00DA01A5">
        <w:rPr>
          <w:b/>
          <w:i/>
          <w:sz w:val="24"/>
          <w:szCs w:val="24"/>
        </w:rPr>
        <w:t xml:space="preserve">Draft Concept Note for a Workshop on </w:t>
      </w:r>
      <w:r w:rsidR="00DA01A5" w:rsidRPr="00DA01A5">
        <w:rPr>
          <w:b/>
          <w:i/>
          <w:sz w:val="24"/>
          <w:szCs w:val="24"/>
        </w:rPr>
        <w:t>Development of Guidelines on Admission and Stay for people moving in the cont</w:t>
      </w:r>
      <w:r w:rsidR="007937DE">
        <w:rPr>
          <w:b/>
          <w:i/>
          <w:sz w:val="24"/>
          <w:szCs w:val="24"/>
        </w:rPr>
        <w:t>ext of disasters across borders.</w:t>
      </w:r>
    </w:p>
    <w:p w:rsidR="00322573" w:rsidRPr="00555581" w:rsidRDefault="00322573" w:rsidP="00B17CA8">
      <w:pPr>
        <w:jc w:val="center"/>
        <w:rPr>
          <w:i/>
          <w:lang w:val="es-MX"/>
        </w:rPr>
      </w:pPr>
      <w:r w:rsidRPr="00555581">
        <w:rPr>
          <w:i/>
          <w:lang w:val="es-MX"/>
        </w:rPr>
        <w:t xml:space="preserve">San </w:t>
      </w:r>
      <w:r w:rsidR="006A3C10" w:rsidRPr="00555581">
        <w:rPr>
          <w:i/>
          <w:lang w:val="es-MX"/>
        </w:rPr>
        <w:t>José</w:t>
      </w:r>
      <w:r w:rsidRPr="00555581">
        <w:rPr>
          <w:i/>
          <w:lang w:val="es-MX"/>
        </w:rPr>
        <w:t xml:space="preserve">, Costa Rica, </w:t>
      </w:r>
      <w:r w:rsidR="00DA01A5">
        <w:rPr>
          <w:i/>
          <w:lang w:val="es-MX"/>
        </w:rPr>
        <w:t>February 10-11, 2015</w:t>
      </w:r>
      <w:r w:rsidRPr="00555581">
        <w:rPr>
          <w:i/>
          <w:lang w:val="es-MX"/>
        </w:rPr>
        <w:t xml:space="preserve"> </w:t>
      </w:r>
    </w:p>
    <w:p w:rsidR="00AC35B5" w:rsidRPr="00F34CD7" w:rsidRDefault="00AC35B5" w:rsidP="00F34CD7">
      <w:pPr>
        <w:jc w:val="both"/>
        <w:rPr>
          <w:rFonts w:eastAsia="Times New Roman" w:cs="Arial"/>
          <w:b/>
          <w:lang w:val="en-US" w:eastAsia="en-GB"/>
        </w:rPr>
      </w:pPr>
      <w:r w:rsidRPr="00F34CD7">
        <w:rPr>
          <w:rFonts w:eastAsia="Times New Roman" w:cs="Arial"/>
          <w:b/>
          <w:lang w:val="en-US" w:eastAsia="en-GB"/>
        </w:rPr>
        <w:t>I. Introduction</w:t>
      </w:r>
    </w:p>
    <w:p w:rsidR="00D1401F" w:rsidRDefault="009966E6" w:rsidP="00F34CD7">
      <w:pPr>
        <w:jc w:val="both"/>
        <w:rPr>
          <w:rFonts w:eastAsia="Times New Roman" w:cs="Arial"/>
          <w:lang w:eastAsia="en-GB"/>
        </w:rPr>
      </w:pPr>
      <w:r w:rsidRPr="00F34CD7">
        <w:rPr>
          <w:rFonts w:eastAsia="Times New Roman" w:cs="Arial"/>
          <w:lang w:val="en-US" w:eastAsia="en-GB"/>
        </w:rPr>
        <w:t xml:space="preserve">Over recent years, </w:t>
      </w:r>
      <w:r w:rsidRPr="000F1405">
        <w:rPr>
          <w:rFonts w:eastAsia="Times New Roman" w:cs="Arial"/>
          <w:lang w:eastAsia="en-GB"/>
        </w:rPr>
        <w:t>Central America</w:t>
      </w:r>
      <w:r>
        <w:rPr>
          <w:rFonts w:eastAsia="Times New Roman" w:cs="Arial"/>
          <w:lang w:eastAsia="en-GB"/>
        </w:rPr>
        <w:t>’s</w:t>
      </w:r>
      <w:r>
        <w:rPr>
          <w:rStyle w:val="FootnoteReference"/>
          <w:rFonts w:eastAsia="Times New Roman" w:cs="Arial"/>
          <w:lang w:eastAsia="en-GB"/>
        </w:rPr>
        <w:footnoteReference w:id="1"/>
      </w:r>
      <w:r>
        <w:rPr>
          <w:rFonts w:eastAsia="Times New Roman" w:cs="Arial"/>
          <w:lang w:eastAsia="en-GB"/>
        </w:rPr>
        <w:t xml:space="preserve"> </w:t>
      </w:r>
      <w:r w:rsidRPr="000F1405">
        <w:rPr>
          <w:rFonts w:eastAsia="Times New Roman" w:cs="Arial"/>
          <w:lang w:eastAsia="en-GB"/>
        </w:rPr>
        <w:t xml:space="preserve">wide </w:t>
      </w:r>
      <w:r>
        <w:rPr>
          <w:rFonts w:eastAsia="Times New Roman" w:cs="Arial"/>
          <w:lang w:eastAsia="en-GB"/>
        </w:rPr>
        <w:t>range</w:t>
      </w:r>
      <w:r w:rsidRPr="000F1405">
        <w:rPr>
          <w:rFonts w:eastAsia="Times New Roman" w:cs="Arial"/>
          <w:lang w:eastAsia="en-GB"/>
        </w:rPr>
        <w:t xml:space="preserve"> of natural hazards, including floods, hurricanes, </w:t>
      </w:r>
      <w:r>
        <w:rPr>
          <w:rFonts w:eastAsia="Times New Roman" w:cs="Arial"/>
          <w:lang w:eastAsia="en-GB"/>
        </w:rPr>
        <w:t xml:space="preserve">drought, tsunamis, </w:t>
      </w:r>
      <w:r w:rsidRPr="000F1405">
        <w:rPr>
          <w:rFonts w:eastAsia="Times New Roman" w:cs="Arial"/>
          <w:lang w:eastAsia="en-GB"/>
        </w:rPr>
        <w:t>earthquakes, volcanoes and landslides</w:t>
      </w:r>
      <w:r>
        <w:rPr>
          <w:rFonts w:eastAsia="Times New Roman" w:cs="Arial"/>
          <w:lang w:eastAsia="en-GB"/>
        </w:rPr>
        <w:t>, have displaced</w:t>
      </w:r>
      <w:r w:rsidRPr="000F1405">
        <w:rPr>
          <w:rFonts w:eastAsia="Times New Roman" w:cs="Arial"/>
          <w:lang w:eastAsia="en-GB"/>
        </w:rPr>
        <w:t xml:space="preserve"> </w:t>
      </w:r>
      <w:r>
        <w:rPr>
          <w:rFonts w:eastAsia="Times New Roman" w:cs="Arial"/>
          <w:lang w:eastAsia="en-GB"/>
        </w:rPr>
        <w:t>hundreds of thousands of people both within their own countries and across international borders. In response</w:t>
      </w:r>
      <w:r w:rsidR="00AC35B5">
        <w:rPr>
          <w:rFonts w:eastAsia="Times New Roman" w:cs="Arial"/>
          <w:lang w:eastAsia="en-GB"/>
        </w:rPr>
        <w:t xml:space="preserve"> to those displaced abroad</w:t>
      </w:r>
      <w:r>
        <w:rPr>
          <w:rFonts w:eastAsia="Times New Roman" w:cs="Arial"/>
          <w:lang w:eastAsia="en-GB"/>
        </w:rPr>
        <w:t>, s</w:t>
      </w:r>
      <w:r w:rsidR="00AC35B5">
        <w:rPr>
          <w:rFonts w:eastAsia="Times New Roman" w:cs="Arial"/>
          <w:lang w:eastAsia="en-GB"/>
        </w:rPr>
        <w:t xml:space="preserve">tates in the region and </w:t>
      </w:r>
      <w:r>
        <w:rPr>
          <w:rFonts w:eastAsia="Times New Roman" w:cs="Arial"/>
          <w:lang w:eastAsia="en-GB"/>
        </w:rPr>
        <w:t>beyond have utilized a diverse set of temporary protection mechanisms to allow disaster-affected people to enter or remain</w:t>
      </w:r>
      <w:r w:rsidR="00D1401F">
        <w:rPr>
          <w:rFonts w:eastAsia="Times New Roman" w:cs="Arial"/>
          <w:lang w:eastAsia="en-GB"/>
        </w:rPr>
        <w:t xml:space="preserve"> in their countries</w:t>
      </w:r>
      <w:r>
        <w:rPr>
          <w:rFonts w:eastAsia="Times New Roman" w:cs="Arial"/>
          <w:lang w:eastAsia="en-GB"/>
        </w:rPr>
        <w:t xml:space="preserve"> </w:t>
      </w:r>
      <w:r w:rsidR="00AC35B5">
        <w:rPr>
          <w:rFonts w:eastAsia="Times New Roman" w:cs="Arial"/>
          <w:lang w:eastAsia="en-GB"/>
        </w:rPr>
        <w:t>in</w:t>
      </w:r>
      <w:r>
        <w:rPr>
          <w:rFonts w:eastAsia="Times New Roman" w:cs="Arial"/>
          <w:lang w:eastAsia="en-GB"/>
        </w:rPr>
        <w:t xml:space="preserve"> the aftermath of </w:t>
      </w:r>
      <w:r w:rsidR="00D1401F">
        <w:rPr>
          <w:rFonts w:eastAsia="Times New Roman" w:cs="Arial"/>
          <w:lang w:eastAsia="en-GB"/>
        </w:rPr>
        <w:t>a</w:t>
      </w:r>
      <w:r>
        <w:rPr>
          <w:rFonts w:eastAsia="Times New Roman" w:cs="Arial"/>
          <w:lang w:eastAsia="en-GB"/>
        </w:rPr>
        <w:t xml:space="preserve"> disaster.  While these measures have played an important protection role,</w:t>
      </w:r>
      <w:r w:rsidR="007760C1">
        <w:rPr>
          <w:rFonts w:eastAsia="Times New Roman" w:cs="Arial"/>
          <w:lang w:eastAsia="en-GB"/>
        </w:rPr>
        <w:t xml:space="preserve"> participants at the December 2013 Nansen Initiative Regional Consultation in San Jose, Costa Rica concluded that more could be done to strengthen and harmonize these temporary protection mechanisms </w:t>
      </w:r>
      <w:r w:rsidR="00D1401F">
        <w:rPr>
          <w:rFonts w:eastAsia="Times New Roman" w:cs="Arial"/>
          <w:lang w:eastAsia="en-GB"/>
        </w:rPr>
        <w:t xml:space="preserve">for </w:t>
      </w:r>
      <w:r w:rsidR="00AC35B5">
        <w:rPr>
          <w:rFonts w:eastAsia="Times New Roman" w:cs="Arial"/>
          <w:lang w:eastAsia="en-GB"/>
        </w:rPr>
        <w:t xml:space="preserve">cross-border disaster displacement </w:t>
      </w:r>
      <w:r w:rsidR="007760C1">
        <w:rPr>
          <w:rFonts w:eastAsia="Times New Roman" w:cs="Arial"/>
          <w:lang w:eastAsia="en-GB"/>
        </w:rPr>
        <w:t>in the region</w:t>
      </w:r>
      <w:r w:rsidR="00AC35B5">
        <w:rPr>
          <w:rFonts w:eastAsia="Times New Roman" w:cs="Arial"/>
          <w:lang w:eastAsia="en-GB"/>
        </w:rPr>
        <w:t>. In particular they</w:t>
      </w:r>
      <w:r w:rsidR="007760C1">
        <w:rPr>
          <w:rFonts w:eastAsia="Times New Roman" w:cs="Arial"/>
          <w:lang w:eastAsia="en-GB"/>
        </w:rPr>
        <w:t xml:space="preserve"> recommended further dialogue on humanitarian visas within the context of the Regional </w:t>
      </w:r>
      <w:r w:rsidR="00AC35B5">
        <w:rPr>
          <w:rFonts w:eastAsia="Times New Roman" w:cs="Arial"/>
          <w:lang w:eastAsia="en-GB"/>
        </w:rPr>
        <w:t>Conference</w:t>
      </w:r>
      <w:r w:rsidR="007760C1">
        <w:rPr>
          <w:rFonts w:eastAsia="Times New Roman" w:cs="Arial"/>
          <w:lang w:eastAsia="en-GB"/>
        </w:rPr>
        <w:t xml:space="preserve"> on Migration</w:t>
      </w:r>
      <w:r w:rsidR="00AC35B5">
        <w:rPr>
          <w:rFonts w:eastAsia="Times New Roman" w:cs="Arial"/>
          <w:lang w:eastAsia="en-GB"/>
        </w:rPr>
        <w:t xml:space="preserve"> (RCM)</w:t>
      </w:r>
      <w:r w:rsidR="007760C1">
        <w:rPr>
          <w:rFonts w:eastAsia="Times New Roman" w:cs="Arial"/>
          <w:lang w:eastAsia="en-GB"/>
        </w:rPr>
        <w:t>.</w:t>
      </w:r>
      <w:r w:rsidR="00061F61">
        <w:rPr>
          <w:rStyle w:val="FootnoteReference"/>
        </w:rPr>
        <w:footnoteReference w:id="2"/>
      </w:r>
      <w:r>
        <w:rPr>
          <w:rFonts w:eastAsia="Times New Roman" w:cs="Arial"/>
          <w:lang w:eastAsia="en-GB"/>
        </w:rPr>
        <w:t xml:space="preserve"> </w:t>
      </w:r>
    </w:p>
    <w:p w:rsidR="00490FDF" w:rsidRDefault="007760C1" w:rsidP="00F34CD7">
      <w:pPr>
        <w:jc w:val="both"/>
        <w:rPr>
          <w:rFonts w:eastAsia="Times New Roman" w:cs="Arial"/>
          <w:lang w:eastAsia="en-GB"/>
        </w:rPr>
      </w:pPr>
      <w:r>
        <w:rPr>
          <w:rFonts w:eastAsia="Times New Roman" w:cs="Arial"/>
          <w:lang w:eastAsia="en-GB"/>
        </w:rPr>
        <w:t xml:space="preserve">This concept note, thus, </w:t>
      </w:r>
      <w:r w:rsidR="00D1401F">
        <w:rPr>
          <w:rFonts w:eastAsia="Times New Roman" w:cs="Arial"/>
          <w:lang w:eastAsia="en-GB"/>
        </w:rPr>
        <w:t>provides background on cross-border displacement in disaster contexts in Central America</w:t>
      </w:r>
      <w:r w:rsidR="00FF7A6F">
        <w:rPr>
          <w:rFonts w:eastAsia="Times New Roman" w:cs="Arial"/>
          <w:lang w:eastAsia="en-GB"/>
        </w:rPr>
        <w:t xml:space="preserve"> and the wider region</w:t>
      </w:r>
      <w:r w:rsidR="00D1401F">
        <w:rPr>
          <w:rFonts w:eastAsia="Times New Roman" w:cs="Arial"/>
          <w:lang w:eastAsia="en-GB"/>
        </w:rPr>
        <w:t>, and an overview of past use of temporary protection mechanisms in response. It then p</w:t>
      </w:r>
      <w:r>
        <w:rPr>
          <w:rFonts w:eastAsia="Times New Roman" w:cs="Arial"/>
          <w:lang w:eastAsia="en-GB"/>
        </w:rPr>
        <w:t xml:space="preserve">roposes a process for further </w:t>
      </w:r>
      <w:r w:rsidR="00AC35B5">
        <w:rPr>
          <w:rFonts w:eastAsia="Times New Roman" w:cs="Arial"/>
          <w:lang w:eastAsia="en-GB"/>
        </w:rPr>
        <w:t xml:space="preserve">regional </w:t>
      </w:r>
      <w:r>
        <w:rPr>
          <w:rFonts w:eastAsia="Times New Roman" w:cs="Arial"/>
          <w:lang w:eastAsia="en-GB"/>
        </w:rPr>
        <w:t>deliberation on the use of humanitarian visas in sudden-onset disasters that will culminate in a workshop</w:t>
      </w:r>
      <w:r w:rsidR="00AC35B5">
        <w:rPr>
          <w:rFonts w:eastAsia="Times New Roman" w:cs="Arial"/>
          <w:lang w:eastAsia="en-GB"/>
        </w:rPr>
        <w:t xml:space="preserve"> hosted by the RCM</w:t>
      </w:r>
      <w:r>
        <w:rPr>
          <w:rFonts w:eastAsia="Times New Roman" w:cs="Arial"/>
          <w:lang w:eastAsia="en-GB"/>
        </w:rPr>
        <w:t xml:space="preserve"> </w:t>
      </w:r>
      <w:r w:rsidR="00AC35B5">
        <w:rPr>
          <w:rFonts w:eastAsia="Times New Roman" w:cs="Arial"/>
          <w:lang w:eastAsia="en-GB"/>
        </w:rPr>
        <w:t>with the ultimate objective of endorsing</w:t>
      </w:r>
      <w:r>
        <w:rPr>
          <w:rFonts w:eastAsia="Times New Roman" w:cs="Arial"/>
          <w:lang w:eastAsia="en-GB"/>
        </w:rPr>
        <w:t xml:space="preserve"> regional guidelines for the development and use of humanitarian visas for </w:t>
      </w:r>
      <w:r w:rsidR="00AC35B5">
        <w:rPr>
          <w:rFonts w:eastAsia="Times New Roman" w:cs="Arial"/>
          <w:lang w:eastAsia="en-GB"/>
        </w:rPr>
        <w:t xml:space="preserve">cross-border </w:t>
      </w:r>
      <w:r>
        <w:rPr>
          <w:rFonts w:eastAsia="Times New Roman" w:cs="Arial"/>
          <w:lang w:eastAsia="en-GB"/>
        </w:rPr>
        <w:t>displaced people in future disasters.</w:t>
      </w:r>
    </w:p>
    <w:p w:rsidR="00A95103" w:rsidRPr="006A3C10" w:rsidRDefault="00AC35B5" w:rsidP="006A3C10">
      <w:pPr>
        <w:rPr>
          <w:b/>
        </w:rPr>
      </w:pPr>
      <w:r w:rsidRPr="00AC35B5">
        <w:rPr>
          <w:b/>
          <w:lang w:val="en-US"/>
        </w:rPr>
        <w:t xml:space="preserve">II. </w:t>
      </w:r>
      <w:r w:rsidR="00AB4FC2" w:rsidRPr="006A3C10">
        <w:rPr>
          <w:b/>
        </w:rPr>
        <w:t>Background</w:t>
      </w:r>
      <w:r w:rsidR="00AB7FB5" w:rsidRPr="006A3C10">
        <w:rPr>
          <w:b/>
        </w:rPr>
        <w:t xml:space="preserve">: </w:t>
      </w:r>
      <w:r w:rsidR="00A95103" w:rsidRPr="006A3C10">
        <w:rPr>
          <w:b/>
        </w:rPr>
        <w:t>Nansen Initiative Regional Consultation</w:t>
      </w:r>
      <w:r w:rsidR="005F6A39" w:rsidRPr="006A3C10">
        <w:rPr>
          <w:b/>
        </w:rPr>
        <w:t xml:space="preserve"> in Central America </w:t>
      </w:r>
    </w:p>
    <w:p w:rsidR="006F5862" w:rsidRDefault="00A95103" w:rsidP="00627FC7">
      <w:pPr>
        <w:jc w:val="both"/>
      </w:pPr>
      <w:r>
        <w:t xml:space="preserve">More than 100 </w:t>
      </w:r>
      <w:r w:rsidR="001E7483">
        <w:t>p</w:t>
      </w:r>
      <w:r>
        <w:t>articipants from Central American countries, Mexico, Colombia, Haiti and the Dominican Republic, representatives from the Nansen Initiative, as well as representatives from regional and international organizations, civil society, and research institutions, met in San Jose, Costa Rica from 2-4 December 2013 for the second Nansen Initiative Consultation on “</w:t>
      </w:r>
      <w:r w:rsidRPr="00AB4FC2">
        <w:rPr>
          <w:i/>
        </w:rPr>
        <w:t>Disasters and Cross-Border Displacement in Central America: Emerging Needs, New Responses.</w:t>
      </w:r>
      <w:r>
        <w:t>”</w:t>
      </w:r>
      <w:r w:rsidR="009A1D59">
        <w:rPr>
          <w:rStyle w:val="FootnoteReference"/>
        </w:rPr>
        <w:footnoteReference w:id="3"/>
      </w:r>
      <w:r>
        <w:t xml:space="preserve"> </w:t>
      </w:r>
    </w:p>
    <w:p w:rsidR="00F61672" w:rsidRDefault="00C27AB3" w:rsidP="00627FC7">
      <w:pPr>
        <w:jc w:val="both"/>
      </w:pPr>
      <w:r>
        <w:t>During the consultation</w:t>
      </w:r>
      <w:r w:rsidR="00315B77">
        <w:t xml:space="preserve"> p</w:t>
      </w:r>
      <w:r w:rsidR="00BE29F6">
        <w:t xml:space="preserve">articipants </w:t>
      </w:r>
      <w:r w:rsidR="00A95103">
        <w:t>recognize</w:t>
      </w:r>
      <w:r w:rsidR="00BE29F6">
        <w:t>d</w:t>
      </w:r>
      <w:r w:rsidR="00A95103">
        <w:t xml:space="preserve"> cross-border displacement in the context of disasters as a very important issue for the region.</w:t>
      </w:r>
      <w:r w:rsidR="006F5862">
        <w:t xml:space="preserve"> </w:t>
      </w:r>
      <w:r w:rsidR="00BE29F6">
        <w:t xml:space="preserve">They </w:t>
      </w:r>
      <w:r w:rsidR="00D1401F">
        <w:t xml:space="preserve">acknowledged </w:t>
      </w:r>
      <w:r w:rsidR="00AB4FC2">
        <w:t xml:space="preserve">that while most </w:t>
      </w:r>
      <w:r w:rsidR="00D1401F">
        <w:t xml:space="preserve">people </w:t>
      </w:r>
      <w:r w:rsidR="00AB4FC2">
        <w:t xml:space="preserve">displaced </w:t>
      </w:r>
      <w:r w:rsidR="005F6A39">
        <w:t xml:space="preserve">by disasters </w:t>
      </w:r>
      <w:r w:rsidR="00AB4FC2">
        <w:t xml:space="preserve">remain within their own countries </w:t>
      </w:r>
      <w:r>
        <w:t>under the protection of</w:t>
      </w:r>
      <w:r w:rsidR="00AB4FC2">
        <w:t xml:space="preserve"> national </w:t>
      </w:r>
      <w:r w:rsidR="00D1401F">
        <w:t>law</w:t>
      </w:r>
      <w:r w:rsidR="00AB4FC2">
        <w:t xml:space="preserve">, there </w:t>
      </w:r>
      <w:r w:rsidR="005F6A39">
        <w:t xml:space="preserve">is a legal gap with regard to </w:t>
      </w:r>
      <w:r w:rsidR="00AB4FC2">
        <w:t>the protection of those displaced across borders</w:t>
      </w:r>
      <w:r w:rsidR="00F61672">
        <w:t xml:space="preserve">. Participants identified the Regional Conference on Migration as </w:t>
      </w:r>
      <w:r w:rsidR="00D1401F">
        <w:t xml:space="preserve">a </w:t>
      </w:r>
      <w:r w:rsidR="00F61672">
        <w:t>relevant for</w:t>
      </w:r>
      <w:r w:rsidR="00D1401F">
        <w:t>um</w:t>
      </w:r>
      <w:r w:rsidR="00F61672">
        <w:t xml:space="preserve"> for continuing the regional dialogue on </w:t>
      </w:r>
      <w:r w:rsidR="00296312">
        <w:t xml:space="preserve">how to address </w:t>
      </w:r>
      <w:r w:rsidR="00F61672">
        <w:t>the</w:t>
      </w:r>
      <w:r w:rsidR="00315B77">
        <w:t xml:space="preserve"> </w:t>
      </w:r>
      <w:r w:rsidR="00F61672">
        <w:t>protection</w:t>
      </w:r>
      <w:r w:rsidR="005F6A39">
        <w:t xml:space="preserve"> </w:t>
      </w:r>
      <w:r w:rsidR="006A3C10">
        <w:t>n</w:t>
      </w:r>
      <w:r w:rsidR="005F6A39">
        <w:t>eeds</w:t>
      </w:r>
      <w:r w:rsidR="00EF19E0">
        <w:t xml:space="preserve"> </w:t>
      </w:r>
      <w:r w:rsidR="009A1D59">
        <w:t xml:space="preserve">of persons displaced across borders in </w:t>
      </w:r>
      <w:r w:rsidR="00A53C75">
        <w:t xml:space="preserve">the </w:t>
      </w:r>
      <w:r w:rsidR="009A1D59">
        <w:t>context of disasters</w:t>
      </w:r>
      <w:r w:rsidR="00315B77">
        <w:t xml:space="preserve">. </w:t>
      </w:r>
    </w:p>
    <w:p w:rsidR="00D80222" w:rsidRPr="00555581" w:rsidRDefault="00D80222" w:rsidP="00627FC7">
      <w:pPr>
        <w:jc w:val="both"/>
        <w:rPr>
          <w:lang w:val="en-US"/>
        </w:rPr>
      </w:pPr>
    </w:p>
    <w:p w:rsidR="001E6515" w:rsidRPr="00555581" w:rsidRDefault="001E6515" w:rsidP="00627FC7">
      <w:pPr>
        <w:jc w:val="both"/>
        <w:rPr>
          <w:lang w:val="en-US"/>
        </w:rPr>
      </w:pPr>
    </w:p>
    <w:p w:rsidR="008174AB" w:rsidRPr="008174AB" w:rsidRDefault="00AC35B5" w:rsidP="006A3C10">
      <w:pPr>
        <w:pStyle w:val="Default"/>
        <w:jc w:val="both"/>
        <w:rPr>
          <w:b/>
          <w:sz w:val="22"/>
          <w:szCs w:val="22"/>
        </w:rPr>
      </w:pPr>
      <w:r>
        <w:rPr>
          <w:b/>
          <w:sz w:val="22"/>
          <w:szCs w:val="22"/>
        </w:rPr>
        <w:lastRenderedPageBreak/>
        <w:t xml:space="preserve">III. </w:t>
      </w:r>
      <w:r w:rsidR="008174AB">
        <w:rPr>
          <w:b/>
          <w:sz w:val="22"/>
          <w:szCs w:val="22"/>
        </w:rPr>
        <w:t>The Concept</w:t>
      </w:r>
      <w:r w:rsidR="00CB0550">
        <w:rPr>
          <w:b/>
          <w:sz w:val="22"/>
          <w:szCs w:val="22"/>
        </w:rPr>
        <w:t>s</w:t>
      </w:r>
      <w:r w:rsidR="008174AB">
        <w:rPr>
          <w:b/>
          <w:sz w:val="22"/>
          <w:szCs w:val="22"/>
        </w:rPr>
        <w:t xml:space="preserve"> </w:t>
      </w:r>
      <w:r w:rsidR="004E66AD">
        <w:rPr>
          <w:b/>
          <w:sz w:val="22"/>
          <w:szCs w:val="22"/>
        </w:rPr>
        <w:t xml:space="preserve">of Temporary Protection, </w:t>
      </w:r>
      <w:r w:rsidR="00CB0550">
        <w:rPr>
          <w:b/>
          <w:sz w:val="22"/>
          <w:szCs w:val="22"/>
        </w:rPr>
        <w:t xml:space="preserve">Humanitarian Visas and </w:t>
      </w:r>
      <w:r w:rsidR="004E66AD">
        <w:rPr>
          <w:b/>
          <w:sz w:val="22"/>
          <w:szCs w:val="22"/>
        </w:rPr>
        <w:t>Stay Arrangements</w:t>
      </w:r>
      <w:r w:rsidR="008174AB" w:rsidRPr="008174AB">
        <w:rPr>
          <w:b/>
          <w:sz w:val="22"/>
          <w:szCs w:val="22"/>
        </w:rPr>
        <w:t xml:space="preserve"> </w:t>
      </w:r>
    </w:p>
    <w:p w:rsidR="008174AB" w:rsidRDefault="008174AB" w:rsidP="00627FC7">
      <w:pPr>
        <w:pStyle w:val="Default"/>
        <w:jc w:val="both"/>
        <w:rPr>
          <w:sz w:val="22"/>
          <w:szCs w:val="22"/>
        </w:rPr>
      </w:pPr>
    </w:p>
    <w:p w:rsidR="001F6BC2" w:rsidRDefault="008B5D56" w:rsidP="001F6BC2">
      <w:pPr>
        <w:jc w:val="both"/>
      </w:pPr>
      <w:r>
        <w:t>While the exact scope and definition of t</w:t>
      </w:r>
      <w:r w:rsidR="00AD16D7">
        <w:t>emporary protection</w:t>
      </w:r>
      <w:r>
        <w:t xml:space="preserve"> is undefined</w:t>
      </w:r>
      <w:r w:rsidR="00540FFE">
        <w:t>;</w:t>
      </w:r>
      <w:r>
        <w:rPr>
          <w:rStyle w:val="FootnoteReference"/>
        </w:rPr>
        <w:footnoteReference w:id="4"/>
      </w:r>
      <w:r>
        <w:t xml:space="preserve"> in general</w:t>
      </w:r>
      <w:r w:rsidR="00540FFE">
        <w:t>,</w:t>
      </w:r>
      <w:r>
        <w:t xml:space="preserve"> it </w:t>
      </w:r>
      <w:r w:rsidR="004E66AD">
        <w:t xml:space="preserve">refers to </w:t>
      </w:r>
      <w:r>
        <w:t xml:space="preserve">an </w:t>
      </w:r>
      <w:r w:rsidR="004E66AD">
        <w:t xml:space="preserve">overall concept of </w:t>
      </w:r>
      <w:r>
        <w:t xml:space="preserve">allowing a person in need of protection to enter and/or stay within a country other than their own to ensure </w:t>
      </w:r>
      <w:r w:rsidR="00AD16D7">
        <w:t>basic standards of treatment in accordance with human rights</w:t>
      </w:r>
      <w:r>
        <w:t xml:space="preserve"> law, including protection against </w:t>
      </w:r>
      <w:r w:rsidRPr="0065339C">
        <w:rPr>
          <w:i/>
        </w:rPr>
        <w:t>refoul</w:t>
      </w:r>
      <w:r w:rsidR="006E3065">
        <w:rPr>
          <w:i/>
        </w:rPr>
        <w:t>e</w:t>
      </w:r>
      <w:r w:rsidRPr="0065339C">
        <w:rPr>
          <w:i/>
        </w:rPr>
        <w:t>ment</w:t>
      </w:r>
      <w:r>
        <w:t>.</w:t>
      </w:r>
      <w:r>
        <w:rPr>
          <w:rStyle w:val="FootnoteReference"/>
        </w:rPr>
        <w:footnoteReference w:id="5"/>
      </w:r>
      <w:r>
        <w:t xml:space="preserve">  </w:t>
      </w:r>
      <w:r w:rsidR="001F6BC2">
        <w:t>T</w:t>
      </w:r>
      <w:r w:rsidR="001F6BC2" w:rsidRPr="009535CF">
        <w:t xml:space="preserve">emporary protection arrangements </w:t>
      </w:r>
      <w:r w:rsidR="001F6BC2">
        <w:t>have been used in situations when</w:t>
      </w:r>
      <w:r w:rsidR="001F6BC2" w:rsidRPr="009535CF">
        <w:t xml:space="preserve"> existing international protection standards may not be applicable or where their application and implementation is difficult or impossible.</w:t>
      </w:r>
      <w:r w:rsidR="001F6BC2">
        <w:t xml:space="preserve"> In this sense, they are</w:t>
      </w:r>
      <w:r w:rsidR="001F6BC2" w:rsidRPr="009535CF">
        <w:t xml:space="preserve"> complementary to other mechanisms in the international and regional protection</w:t>
      </w:r>
      <w:r w:rsidR="00B66E87">
        <w:t xml:space="preserve"> regime, such as the 1951 Conven</w:t>
      </w:r>
      <w:r w:rsidR="006B710A">
        <w:t>tion R</w:t>
      </w:r>
      <w:r w:rsidR="001F6BC2" w:rsidRPr="009535CF">
        <w:t>elating to the Status of Refugees and the 1984 Cartagena Declaration.</w:t>
      </w:r>
      <w:r w:rsidR="001F6BC2" w:rsidRPr="001F6BC2">
        <w:t xml:space="preserve"> </w:t>
      </w:r>
    </w:p>
    <w:p w:rsidR="000F6DC2" w:rsidRDefault="001F6BC2" w:rsidP="009535CF">
      <w:pPr>
        <w:jc w:val="both"/>
      </w:pPr>
      <w:r w:rsidRPr="009535CF">
        <w:t xml:space="preserve">In the context of </w:t>
      </w:r>
      <w:r w:rsidR="006C206C">
        <w:t>sudden-</w:t>
      </w:r>
      <w:r w:rsidRPr="009535CF">
        <w:t xml:space="preserve">disasters, temporary protection would allow for quick and flexible response, while maintaining basic international standards of protection. </w:t>
      </w:r>
      <w:r w:rsidR="006C206C">
        <w:t xml:space="preserve">As the Central American experience shows, states use different legal mechanisms for providing temporary protection in disaster contexts.  </w:t>
      </w:r>
      <w:r w:rsidR="0079155D">
        <w:t>This</w:t>
      </w:r>
      <w:r w:rsidR="006C206C">
        <w:t xml:space="preserve"> concept note will explore the tools of humanitarian visas and stay arrangements, which </w:t>
      </w:r>
      <w:r w:rsidR="00D7000E">
        <w:t>refer to</w:t>
      </w:r>
      <w:r w:rsidR="008174AB">
        <w:t xml:space="preserve"> administrative decision</w:t>
      </w:r>
      <w:r w:rsidR="0079155D">
        <w:t>s</w:t>
      </w:r>
      <w:r w:rsidR="008174AB">
        <w:t xml:space="preserve"> </w:t>
      </w:r>
      <w:r w:rsidR="00CB0550">
        <w:t>by a competent authority to grant a foreigner</w:t>
      </w:r>
      <w:r w:rsidR="000F6DC2">
        <w:t xml:space="preserve"> a permit </w:t>
      </w:r>
      <w:r w:rsidR="006C206C">
        <w:t>to enter</w:t>
      </w:r>
      <w:r w:rsidR="00051B27">
        <w:t xml:space="preserve"> </w:t>
      </w:r>
      <w:r w:rsidR="000F6DC2">
        <w:t>and</w:t>
      </w:r>
      <w:r w:rsidR="006C206C">
        <w:t>/or</w:t>
      </w:r>
      <w:r w:rsidR="000F6DC2">
        <w:t xml:space="preserve"> stay i</w:t>
      </w:r>
      <w:r w:rsidR="006C206C">
        <w:t>n</w:t>
      </w:r>
      <w:r w:rsidR="000F6DC2">
        <w:t xml:space="preserve"> another country in </w:t>
      </w:r>
      <w:r w:rsidR="006C206C">
        <w:t>the context of a disaster-related</w:t>
      </w:r>
      <w:r w:rsidR="000F6DC2">
        <w:t xml:space="preserve"> humanitarian crisis</w:t>
      </w:r>
      <w:r w:rsidR="006C206C">
        <w:t xml:space="preserve"> that has resulted in displacement</w:t>
      </w:r>
      <w:r w:rsidR="000F6DC2">
        <w:t xml:space="preserve">. </w:t>
      </w:r>
    </w:p>
    <w:p w:rsidR="00C05AD0" w:rsidRPr="00555581" w:rsidRDefault="00C05AD0" w:rsidP="009535CF">
      <w:pPr>
        <w:jc w:val="both"/>
        <w:rPr>
          <w:lang w:val="en-US"/>
        </w:rPr>
      </w:pPr>
    </w:p>
    <w:p w:rsidR="00A95103" w:rsidRDefault="00AC35B5" w:rsidP="006A3C10">
      <w:pPr>
        <w:rPr>
          <w:b/>
        </w:rPr>
      </w:pPr>
      <w:r>
        <w:rPr>
          <w:b/>
        </w:rPr>
        <w:t xml:space="preserve">IV. </w:t>
      </w:r>
      <w:r w:rsidR="003A4781" w:rsidRPr="006A3C10">
        <w:rPr>
          <w:b/>
        </w:rPr>
        <w:t>Challenge</w:t>
      </w:r>
      <w:r w:rsidR="00915DC9">
        <w:rPr>
          <w:b/>
        </w:rPr>
        <w:t>s</w:t>
      </w:r>
      <w:r w:rsidR="003A4781" w:rsidRPr="006A3C10">
        <w:rPr>
          <w:b/>
        </w:rPr>
        <w:t xml:space="preserve"> </w:t>
      </w:r>
      <w:r w:rsidR="00BE29F6" w:rsidRPr="006A3C10">
        <w:rPr>
          <w:b/>
        </w:rPr>
        <w:t xml:space="preserve">and Opportunities </w:t>
      </w:r>
      <w:r w:rsidR="00DC2D72" w:rsidRPr="006A3C10">
        <w:rPr>
          <w:b/>
        </w:rPr>
        <w:t>in Central America and North America</w:t>
      </w:r>
    </w:p>
    <w:p w:rsidR="003A4781" w:rsidRDefault="003A4781" w:rsidP="002B58E8">
      <w:pPr>
        <w:jc w:val="both"/>
        <w:rPr>
          <w:color w:val="000000" w:themeColor="text1"/>
        </w:rPr>
      </w:pPr>
      <w:r w:rsidRPr="003A4781">
        <w:rPr>
          <w:bCs/>
          <w:iCs/>
          <w:lang w:val="en-US"/>
        </w:rPr>
        <w:t>With</w:t>
      </w:r>
      <w:r w:rsidRPr="003A4781">
        <w:rPr>
          <w:lang w:val="en-US"/>
        </w:rPr>
        <w:t xml:space="preserve"> an increase in the number and severity of disasters</w:t>
      </w:r>
      <w:r w:rsidR="00DC2D72">
        <w:rPr>
          <w:lang w:val="en-US"/>
        </w:rPr>
        <w:t xml:space="preserve"> globally</w:t>
      </w:r>
      <w:r w:rsidRPr="003A4781">
        <w:rPr>
          <w:lang w:val="en-US"/>
        </w:rPr>
        <w:t xml:space="preserve">, and the growing challenges associated with climate change, </w:t>
      </w:r>
      <w:r w:rsidRPr="003A4781">
        <w:t>it is anticipated that displacement</w:t>
      </w:r>
      <w:r w:rsidR="00915DC9">
        <w:t xml:space="preserve"> in Central America</w:t>
      </w:r>
      <w:r w:rsidR="006A3C10">
        <w:t xml:space="preserve"> and North America</w:t>
      </w:r>
      <w:r w:rsidR="00627FC7">
        <w:t>,</w:t>
      </w:r>
      <w:r w:rsidRPr="003A4781">
        <w:t xml:space="preserve"> including across borders, is likely to increase</w:t>
      </w:r>
      <w:r w:rsidR="00DC2D72">
        <w:t xml:space="preserve"> in the </w:t>
      </w:r>
      <w:r w:rsidR="00C76FC9">
        <w:t>future</w:t>
      </w:r>
      <w:r w:rsidRPr="003A4781">
        <w:t>.</w:t>
      </w:r>
      <w:r w:rsidR="00915DC9">
        <w:rPr>
          <w:rFonts w:cs="Times New Roman"/>
        </w:rPr>
        <w:t xml:space="preserve">  However, </w:t>
      </w:r>
      <w:r w:rsidR="00915DC9">
        <w:t xml:space="preserve">stated broadly and generally, unlike for refugees, there is no international or regional protection regime that </w:t>
      </w:r>
      <w:r w:rsidR="00915DC9" w:rsidRPr="00FE4472">
        <w:t>explicitly addresses disaster-induced cross-border displacement</w:t>
      </w:r>
      <w:r w:rsidR="00915DC9">
        <w:t>, or the situation of regular or irregular migrants caught up in disaster situations or unable to return in safety and dignity to a country devastated by a disaster</w:t>
      </w:r>
      <w:r w:rsidR="00915DC9" w:rsidRPr="00FE4472">
        <w:t>.</w:t>
      </w:r>
      <w:r w:rsidR="00915DC9">
        <w:t xml:space="preserve"> </w:t>
      </w:r>
      <w:r w:rsidRPr="003A4781">
        <w:rPr>
          <w:color w:val="000000" w:themeColor="text1"/>
        </w:rPr>
        <w:t>Although human rights law provides “an indirect right to be admitted and to stay where the removal of a person back to the country of origin would amount to inhumane treatment,”</w:t>
      </w:r>
      <w:r w:rsidR="009535CF">
        <w:rPr>
          <w:rStyle w:val="FootnoteReference"/>
          <w:color w:val="000000" w:themeColor="text1"/>
        </w:rPr>
        <w:footnoteReference w:id="6"/>
      </w:r>
      <w:r w:rsidR="009535CF" w:rsidRPr="003A4781">
        <w:rPr>
          <w:color w:val="000000" w:themeColor="text1"/>
        </w:rPr>
        <w:t xml:space="preserve"> </w:t>
      </w:r>
      <w:r w:rsidRPr="003A4781">
        <w:rPr>
          <w:color w:val="000000" w:themeColor="text1"/>
        </w:rPr>
        <w:t>this would not address all displacement situations.</w:t>
      </w:r>
      <w:r w:rsidR="009535CF">
        <w:rPr>
          <w:rStyle w:val="FootnoteReference"/>
          <w:color w:val="000000" w:themeColor="text1"/>
        </w:rPr>
        <w:footnoteReference w:id="7"/>
      </w:r>
      <w:r w:rsidR="009535CF" w:rsidRPr="003A4781">
        <w:rPr>
          <w:color w:val="000000" w:themeColor="text1"/>
        </w:rPr>
        <w:t xml:space="preserve"> </w:t>
      </w:r>
      <w:r w:rsidRPr="003A4781">
        <w:rPr>
          <w:color w:val="000000" w:themeColor="text1"/>
        </w:rPr>
        <w:t xml:space="preserve"> Finally, while the International Convention on Protection of the Rights of All Migrant Workers and Members of their Families provides some protection for migrant </w:t>
      </w:r>
      <w:r w:rsidR="00DC2D72" w:rsidRPr="003A4781">
        <w:rPr>
          <w:color w:val="000000" w:themeColor="text1"/>
        </w:rPr>
        <w:t>labourers</w:t>
      </w:r>
      <w:r w:rsidRPr="003A4781">
        <w:rPr>
          <w:color w:val="000000" w:themeColor="text1"/>
        </w:rPr>
        <w:t>, it does not grant them a right to admission or continuing stay in the country.</w:t>
      </w:r>
      <w:r w:rsidR="009535CF">
        <w:rPr>
          <w:rStyle w:val="FootnoteReference"/>
          <w:color w:val="000000" w:themeColor="text1"/>
        </w:rPr>
        <w:footnoteReference w:id="8"/>
      </w:r>
      <w:r w:rsidR="009535CF" w:rsidRPr="003A4781">
        <w:rPr>
          <w:color w:val="000000" w:themeColor="text1"/>
        </w:rPr>
        <w:t xml:space="preserve"> </w:t>
      </w:r>
    </w:p>
    <w:p w:rsidR="001E6515" w:rsidRDefault="001E6515" w:rsidP="002B58E8">
      <w:pPr>
        <w:jc w:val="both"/>
        <w:rPr>
          <w:color w:val="000000" w:themeColor="text1"/>
        </w:rPr>
      </w:pPr>
    </w:p>
    <w:p w:rsidR="00424154" w:rsidRPr="00173F0B" w:rsidRDefault="00424154" w:rsidP="00173F0B">
      <w:pPr>
        <w:pStyle w:val="ListParagraph"/>
        <w:numPr>
          <w:ilvl w:val="0"/>
          <w:numId w:val="9"/>
        </w:numPr>
        <w:jc w:val="both"/>
        <w:rPr>
          <w:b/>
          <w:color w:val="000000" w:themeColor="text1"/>
        </w:rPr>
      </w:pPr>
      <w:r w:rsidRPr="00173F0B">
        <w:rPr>
          <w:b/>
          <w:color w:val="000000" w:themeColor="text1"/>
        </w:rPr>
        <w:lastRenderedPageBreak/>
        <w:t xml:space="preserve">Existing </w:t>
      </w:r>
      <w:r w:rsidR="00540FFE" w:rsidRPr="00173F0B">
        <w:rPr>
          <w:b/>
          <w:color w:val="000000" w:themeColor="text1"/>
        </w:rPr>
        <w:t>T</w:t>
      </w:r>
      <w:r w:rsidRPr="00173F0B">
        <w:rPr>
          <w:b/>
          <w:color w:val="000000" w:themeColor="text1"/>
        </w:rPr>
        <w:t xml:space="preserve">emporary </w:t>
      </w:r>
      <w:r w:rsidR="00540FFE" w:rsidRPr="00173F0B">
        <w:rPr>
          <w:b/>
          <w:color w:val="000000" w:themeColor="text1"/>
        </w:rPr>
        <w:t>P</w:t>
      </w:r>
      <w:r w:rsidRPr="00173F0B">
        <w:rPr>
          <w:b/>
          <w:color w:val="000000" w:themeColor="text1"/>
        </w:rPr>
        <w:t xml:space="preserve">rotection </w:t>
      </w:r>
      <w:r w:rsidR="00540FFE" w:rsidRPr="00173F0B">
        <w:rPr>
          <w:b/>
          <w:color w:val="000000" w:themeColor="text1"/>
        </w:rPr>
        <w:t>M</w:t>
      </w:r>
      <w:r w:rsidRPr="00173F0B">
        <w:rPr>
          <w:b/>
          <w:color w:val="000000" w:themeColor="text1"/>
        </w:rPr>
        <w:t>echanisms</w:t>
      </w:r>
    </w:p>
    <w:p w:rsidR="000D5A8F" w:rsidRDefault="00C76FC9" w:rsidP="003A4781">
      <w:pPr>
        <w:jc w:val="both"/>
      </w:pPr>
      <w:r>
        <w:t xml:space="preserve">Various countries in </w:t>
      </w:r>
      <w:r w:rsidRPr="003A4781">
        <w:t xml:space="preserve">Central American and North American </w:t>
      </w:r>
      <w:r>
        <w:t xml:space="preserve">have nevertheless granted </w:t>
      </w:r>
      <w:r w:rsidR="00915DC9">
        <w:t>different forms of temporary</w:t>
      </w:r>
      <w:r>
        <w:t xml:space="preserve"> protection on humanitarian grounds for victims fleeing disasters</w:t>
      </w:r>
      <w:r w:rsidR="009535CF">
        <w:t xml:space="preserve">. </w:t>
      </w:r>
      <w:r w:rsidR="008E64D9" w:rsidRPr="003A4781">
        <w:rPr>
          <w:rFonts w:cs="Times New Roman"/>
        </w:rPr>
        <w:t>For example, in the wake of the 2010 Haitian earthquake, many governments enacted special immigration measures in support of the disaster victims.</w:t>
      </w:r>
      <w:r w:rsidR="008E64D9">
        <w:rPr>
          <w:rStyle w:val="FootnoteReference"/>
          <w:rFonts w:cs="Times New Roman"/>
        </w:rPr>
        <w:footnoteReference w:id="9"/>
      </w:r>
      <w:r w:rsidR="008E64D9" w:rsidRPr="003A4781">
        <w:rPr>
          <w:rFonts w:cs="Times New Roman"/>
        </w:rPr>
        <w:t xml:space="preserve"> </w:t>
      </w:r>
      <w:r w:rsidR="009535CF">
        <w:t xml:space="preserve">Such examples include </w:t>
      </w:r>
      <w:r>
        <w:t>temporary protection status, complementary protection</w:t>
      </w:r>
      <w:r w:rsidR="00EB13E6">
        <w:t xml:space="preserve"> measures </w:t>
      </w:r>
      <w:r>
        <w:t xml:space="preserve">or humanitarian visas to those who have crossed international borders. </w:t>
      </w:r>
      <w:r w:rsidR="00915DC9">
        <w:t>These measures have either facilitated the entry of a disaster-affected person to enter the country, or allowed a foreigner from a disaster-affected country to stay within the country where they were located at the time of the disaster.</w:t>
      </w:r>
    </w:p>
    <w:p w:rsidR="00915DC9" w:rsidRPr="001E6515" w:rsidRDefault="00424154" w:rsidP="000D5A8F">
      <w:pPr>
        <w:jc w:val="both"/>
        <w:rPr>
          <w:rFonts w:cs="Times New Roman"/>
          <w:i/>
          <w:lang w:val="en-US"/>
        </w:rPr>
      </w:pPr>
      <w:r w:rsidRPr="001E6515">
        <w:rPr>
          <w:rFonts w:cs="Times New Roman"/>
          <w:i/>
          <w:lang w:val="en-US"/>
        </w:rPr>
        <w:t>1</w:t>
      </w:r>
      <w:r w:rsidR="00915DC9" w:rsidRPr="001E6515">
        <w:rPr>
          <w:rFonts w:cs="Times New Roman"/>
          <w:i/>
          <w:lang w:val="en-US"/>
        </w:rPr>
        <w:t xml:space="preserve">. Temporary </w:t>
      </w:r>
      <w:r w:rsidR="00540FFE" w:rsidRPr="001E6515">
        <w:rPr>
          <w:rFonts w:cs="Times New Roman"/>
          <w:i/>
          <w:lang w:val="en-US"/>
        </w:rPr>
        <w:t>P</w:t>
      </w:r>
      <w:r w:rsidR="00915DC9" w:rsidRPr="001E6515">
        <w:rPr>
          <w:rFonts w:cs="Times New Roman"/>
          <w:i/>
          <w:lang w:val="en-US"/>
        </w:rPr>
        <w:t xml:space="preserve">rotection </w:t>
      </w:r>
      <w:r w:rsidR="00540FFE" w:rsidRPr="001E6515">
        <w:rPr>
          <w:rFonts w:cs="Times New Roman"/>
          <w:i/>
          <w:lang w:val="en-US"/>
        </w:rPr>
        <w:t>M</w:t>
      </w:r>
      <w:r w:rsidR="00915DC9" w:rsidRPr="001E6515">
        <w:rPr>
          <w:rFonts w:cs="Times New Roman"/>
          <w:i/>
          <w:lang w:val="en-US"/>
        </w:rPr>
        <w:t xml:space="preserve">easures </w:t>
      </w:r>
      <w:r w:rsidR="00540FFE" w:rsidRPr="001E6515">
        <w:rPr>
          <w:rFonts w:cs="Times New Roman"/>
          <w:i/>
          <w:lang w:val="en-US"/>
        </w:rPr>
        <w:t>G</w:t>
      </w:r>
      <w:r w:rsidR="00915DC9" w:rsidRPr="001E6515">
        <w:rPr>
          <w:rFonts w:cs="Times New Roman"/>
          <w:i/>
          <w:lang w:val="en-US"/>
        </w:rPr>
        <w:t xml:space="preserve">ranting </w:t>
      </w:r>
      <w:r w:rsidR="00540FFE" w:rsidRPr="001E6515">
        <w:rPr>
          <w:rFonts w:cs="Times New Roman"/>
          <w:i/>
          <w:lang w:val="en-US"/>
        </w:rPr>
        <w:t>A</w:t>
      </w:r>
      <w:r w:rsidR="00915DC9" w:rsidRPr="001E6515">
        <w:rPr>
          <w:rFonts w:cs="Times New Roman"/>
          <w:i/>
          <w:lang w:val="en-US"/>
        </w:rPr>
        <w:t>dmission</w:t>
      </w:r>
    </w:p>
    <w:p w:rsidR="000D5A8F" w:rsidRDefault="008E64D9" w:rsidP="000D5A8F">
      <w:pPr>
        <w:jc w:val="both"/>
        <w:rPr>
          <w:rFonts w:cs="Times New Roman"/>
        </w:rPr>
      </w:pPr>
      <w:r>
        <w:rPr>
          <w:rFonts w:cs="Times New Roman"/>
        </w:rPr>
        <w:t>Following the 2010 Haiti earthquake, the</w:t>
      </w:r>
      <w:r w:rsidR="003A4781" w:rsidRPr="003A4781">
        <w:rPr>
          <w:rFonts w:cs="Times New Roman"/>
        </w:rPr>
        <w:t xml:space="preserve"> Dominican Republic adopted a one year multiple entry humanitarian visa allowing caregivers of the most gravely injured, accompanied by family members, to cross back and forth across the border legally to seek medical attention. </w:t>
      </w:r>
      <w:r w:rsidR="000D5A8F" w:rsidRPr="00BE29F6">
        <w:rPr>
          <w:rFonts w:cs="Times New Roman"/>
        </w:rPr>
        <w:t xml:space="preserve">The Government of Mexico created a humanitarian immigration program from </w:t>
      </w:r>
      <w:r w:rsidR="00555581">
        <w:rPr>
          <w:rFonts w:cs="Times New Roman"/>
        </w:rPr>
        <w:t>February</w:t>
      </w:r>
      <w:r w:rsidR="000D5A8F" w:rsidRPr="00BE29F6">
        <w:rPr>
          <w:rFonts w:cs="Times New Roman"/>
        </w:rPr>
        <w:t xml:space="preserve"> to </w:t>
      </w:r>
      <w:r w:rsidR="00555581">
        <w:rPr>
          <w:rFonts w:cs="Times New Roman"/>
        </w:rPr>
        <w:t>May</w:t>
      </w:r>
      <w:r w:rsidR="000D5A8F" w:rsidRPr="00BE29F6">
        <w:rPr>
          <w:rFonts w:cs="Times New Roman"/>
        </w:rPr>
        <w:t xml:space="preserve"> 2010</w:t>
      </w:r>
      <w:r w:rsidR="00555581">
        <w:rPr>
          <w:rFonts w:cs="Times New Roman"/>
        </w:rPr>
        <w:t>,</w:t>
      </w:r>
      <w:r w:rsidR="000D5A8F" w:rsidRPr="00BE29F6">
        <w:rPr>
          <w:rFonts w:cs="Times New Roman"/>
        </w:rPr>
        <w:t xml:space="preserve"> that allowed Mexican residents to travel to Haiti to bring back their family members, and sent three boats over the period of March to June 2010 to rescue a total of 511 Haitians. All received one year non-immigrant visas issued for “humanitarian reasons or in the public interest” that were later extended until the end of 2011. Notably, the Government of Canada, and the Province of Quebec in particular, primarily expedited and expanded the processing of existing immigration mechanisms.  Quebec also applied humanitarian grounds to facilitate immigration for a small number of “particularly dire situations.”</w:t>
      </w:r>
      <w:r w:rsidR="00642440">
        <w:rPr>
          <w:rFonts w:cs="Times New Roman"/>
        </w:rPr>
        <w:t xml:space="preserve"> Other </w:t>
      </w:r>
      <w:r w:rsidR="00EB13E6">
        <w:rPr>
          <w:rFonts w:cs="Times New Roman"/>
        </w:rPr>
        <w:t>countries in Europe</w:t>
      </w:r>
      <w:r>
        <w:rPr>
          <w:rFonts w:cs="Times New Roman"/>
        </w:rPr>
        <w:t xml:space="preserve">, </w:t>
      </w:r>
      <w:r w:rsidR="00EB13E6">
        <w:rPr>
          <w:rFonts w:cs="Times New Roman"/>
        </w:rPr>
        <w:t xml:space="preserve">Africa and elsewhere </w:t>
      </w:r>
      <w:r w:rsidR="00642440">
        <w:rPr>
          <w:rFonts w:cs="Times New Roman"/>
        </w:rPr>
        <w:t xml:space="preserve">also eased their immigration rules in light of the 2010 Haitian Earthquake. </w:t>
      </w:r>
    </w:p>
    <w:p w:rsidR="00915DC9" w:rsidRPr="002010C5" w:rsidRDefault="00424154" w:rsidP="000D5A8F">
      <w:pPr>
        <w:jc w:val="both"/>
        <w:rPr>
          <w:rFonts w:cs="Times New Roman"/>
          <w:i/>
        </w:rPr>
      </w:pPr>
      <w:r w:rsidRPr="002010C5">
        <w:rPr>
          <w:rFonts w:cs="Times New Roman"/>
          <w:i/>
        </w:rPr>
        <w:t>2</w:t>
      </w:r>
      <w:r w:rsidR="00915DC9" w:rsidRPr="002010C5">
        <w:rPr>
          <w:rFonts w:cs="Times New Roman"/>
          <w:i/>
        </w:rPr>
        <w:t xml:space="preserve">. Temporary </w:t>
      </w:r>
      <w:r w:rsidR="00540FFE">
        <w:rPr>
          <w:rFonts w:cs="Times New Roman"/>
          <w:i/>
        </w:rPr>
        <w:t>P</w:t>
      </w:r>
      <w:r w:rsidR="00915DC9" w:rsidRPr="002010C5">
        <w:rPr>
          <w:rFonts w:cs="Times New Roman"/>
          <w:i/>
        </w:rPr>
        <w:t xml:space="preserve">rotection </w:t>
      </w:r>
      <w:r w:rsidR="00540FFE">
        <w:rPr>
          <w:rFonts w:cs="Times New Roman"/>
          <w:i/>
        </w:rPr>
        <w:t>M</w:t>
      </w:r>
      <w:r w:rsidR="00915DC9" w:rsidRPr="002010C5">
        <w:rPr>
          <w:rFonts w:cs="Times New Roman"/>
          <w:i/>
        </w:rPr>
        <w:t xml:space="preserve">easures </w:t>
      </w:r>
      <w:r w:rsidR="00540FFE">
        <w:rPr>
          <w:rFonts w:cs="Times New Roman"/>
          <w:i/>
        </w:rPr>
        <w:t>A</w:t>
      </w:r>
      <w:r w:rsidR="00915DC9" w:rsidRPr="002010C5">
        <w:rPr>
          <w:rFonts w:cs="Times New Roman"/>
          <w:i/>
        </w:rPr>
        <w:t xml:space="preserve">llowing </w:t>
      </w:r>
      <w:r w:rsidR="00540FFE">
        <w:rPr>
          <w:rFonts w:cs="Times New Roman"/>
          <w:i/>
        </w:rPr>
        <w:t>C</w:t>
      </w:r>
      <w:r w:rsidR="00915DC9" w:rsidRPr="002010C5">
        <w:rPr>
          <w:rFonts w:cs="Times New Roman"/>
          <w:i/>
        </w:rPr>
        <w:t xml:space="preserve">ontinued </w:t>
      </w:r>
      <w:r w:rsidR="00540FFE">
        <w:rPr>
          <w:rFonts w:cs="Times New Roman"/>
          <w:i/>
        </w:rPr>
        <w:t>S</w:t>
      </w:r>
      <w:r w:rsidR="00915DC9" w:rsidRPr="002010C5">
        <w:rPr>
          <w:rFonts w:cs="Times New Roman"/>
          <w:i/>
        </w:rPr>
        <w:t>tay</w:t>
      </w:r>
    </w:p>
    <w:p w:rsidR="00DB7D0E" w:rsidRDefault="008E64D9" w:rsidP="000D5A8F">
      <w:pPr>
        <w:jc w:val="both"/>
      </w:pPr>
      <w:r w:rsidRPr="003A4781">
        <w:rPr>
          <w:rFonts w:cs="Times New Roman"/>
        </w:rPr>
        <w:t>Argentina, Chile, Ecuador, Honduras, Panama and Venezuela stayed deportations and issued humanitarian visas to assist Haitian citizens affected by the earthquake.</w:t>
      </w:r>
      <w:r>
        <w:rPr>
          <w:rFonts w:cs="Times New Roman"/>
        </w:rPr>
        <w:t xml:space="preserve">  </w:t>
      </w:r>
      <w:r w:rsidR="000D5A8F" w:rsidRPr="00BE29F6">
        <w:rPr>
          <w:rFonts w:cs="Times New Roman"/>
        </w:rPr>
        <w:t xml:space="preserve">In North America, the United States Government granted Temporary Protected Status (TPS) to Haitians under the US Immigration Act of 1990. </w:t>
      </w:r>
      <w:r w:rsidR="000D5A8F">
        <w:t>TPS is a temporary immigration status that may be provided to nationals of designated countries who are in the US and are unable to return to their home country because of "armed conflict, environmental disaster, or extraordinary and temporary conditions</w:t>
      </w:r>
      <w:r>
        <w:t>.</w:t>
      </w:r>
      <w:r w:rsidR="000D5A8F">
        <w:t xml:space="preserve">" </w:t>
      </w:r>
      <w:r w:rsidR="00DB7D0E">
        <w:t xml:space="preserve">Following the Hurricane Mitch in 1998, TPS was also </w:t>
      </w:r>
      <w:r w:rsidR="00A53C75">
        <w:t xml:space="preserve">granted to Hondurans and Nicaraguans on the grounds of the extraordinary degree of displacement and damage in particularly these two </w:t>
      </w:r>
      <w:r w:rsidR="00A53C75" w:rsidRPr="00EB13E6">
        <w:t>countries</w:t>
      </w:r>
      <w:r>
        <w:t>.</w:t>
      </w:r>
      <w:r w:rsidR="00A53C75" w:rsidRPr="00EB13E6">
        <w:rPr>
          <w:rStyle w:val="FootnoteReference"/>
        </w:rPr>
        <w:footnoteReference w:id="10"/>
      </w:r>
      <w:r w:rsidR="00DB7D0E" w:rsidRPr="00EB13E6">
        <w:t xml:space="preserve"> </w:t>
      </w:r>
    </w:p>
    <w:p w:rsidR="008E64D9" w:rsidRPr="001E6515" w:rsidRDefault="00424154" w:rsidP="000D5A8F">
      <w:pPr>
        <w:jc w:val="both"/>
        <w:rPr>
          <w:b/>
          <w:lang w:val="en-US"/>
        </w:rPr>
      </w:pPr>
      <w:r w:rsidRPr="001E6515">
        <w:rPr>
          <w:b/>
          <w:lang w:val="en-US"/>
        </w:rPr>
        <w:t>B</w:t>
      </w:r>
      <w:r w:rsidR="008E64D9" w:rsidRPr="001E6515">
        <w:rPr>
          <w:b/>
          <w:lang w:val="en-US"/>
        </w:rPr>
        <w:t xml:space="preserve">. </w:t>
      </w:r>
      <w:r w:rsidRPr="001E6515">
        <w:rPr>
          <w:b/>
          <w:lang w:val="en-US"/>
        </w:rPr>
        <w:t xml:space="preserve">Issues for </w:t>
      </w:r>
      <w:r w:rsidR="00540FFE" w:rsidRPr="001E6515">
        <w:rPr>
          <w:b/>
          <w:lang w:val="en-US"/>
        </w:rPr>
        <w:t>F</w:t>
      </w:r>
      <w:r w:rsidRPr="001E6515">
        <w:rPr>
          <w:b/>
          <w:lang w:val="en-US"/>
        </w:rPr>
        <w:t xml:space="preserve">urther </w:t>
      </w:r>
      <w:r w:rsidR="00540FFE" w:rsidRPr="001E6515">
        <w:rPr>
          <w:b/>
          <w:lang w:val="en-US"/>
        </w:rPr>
        <w:t>D</w:t>
      </w:r>
      <w:r w:rsidRPr="001E6515">
        <w:rPr>
          <w:b/>
          <w:lang w:val="en-US"/>
        </w:rPr>
        <w:t>iscussion</w:t>
      </w:r>
    </w:p>
    <w:p w:rsidR="00726675" w:rsidRDefault="00424154" w:rsidP="00726675">
      <w:pPr>
        <w:jc w:val="both"/>
      </w:pPr>
      <w:r>
        <w:t>While countries</w:t>
      </w:r>
      <w:r w:rsidR="00642440">
        <w:t xml:space="preserve"> in the region have </w:t>
      </w:r>
      <w:r>
        <w:t>used various measures to provide protection</w:t>
      </w:r>
      <w:r w:rsidR="00642440">
        <w:t xml:space="preserve"> </w:t>
      </w:r>
      <w:r>
        <w:t xml:space="preserve">to </w:t>
      </w:r>
      <w:r w:rsidR="00642440">
        <w:t>disaster victims</w:t>
      </w:r>
      <w:r w:rsidR="00524BED">
        <w:t xml:space="preserve"> </w:t>
      </w:r>
      <w:r>
        <w:t xml:space="preserve">who </w:t>
      </w:r>
      <w:r w:rsidR="00524BED">
        <w:t>have crossed international borders</w:t>
      </w:r>
      <w:r w:rsidR="00642440">
        <w:t xml:space="preserve">, </w:t>
      </w:r>
      <w:r>
        <w:t xml:space="preserve">the Haiti experience </w:t>
      </w:r>
      <w:r w:rsidR="00642440">
        <w:t>also show</w:t>
      </w:r>
      <w:r w:rsidR="00524BED">
        <w:t>s</w:t>
      </w:r>
      <w:r w:rsidR="00642440">
        <w:t xml:space="preserve"> that such </w:t>
      </w:r>
      <w:r w:rsidR="00524BED">
        <w:t xml:space="preserve">arrangements </w:t>
      </w:r>
      <w:r w:rsidR="00726675">
        <w:t xml:space="preserve">are generally developed as </w:t>
      </w:r>
      <w:r w:rsidR="00642440" w:rsidRPr="002010C5">
        <w:rPr>
          <w:i/>
        </w:rPr>
        <w:t>ad hoc</w:t>
      </w:r>
      <w:r w:rsidR="00642440">
        <w:t xml:space="preserve"> </w:t>
      </w:r>
      <w:r w:rsidR="00CF5A5E">
        <w:t xml:space="preserve">emergency </w:t>
      </w:r>
      <w:r w:rsidR="00642440">
        <w:t>responses to extraordinary situations</w:t>
      </w:r>
      <w:r w:rsidR="00CF5A5E">
        <w:t>, determined on a case-by-case basis</w:t>
      </w:r>
      <w:r w:rsidR="00524BED">
        <w:t xml:space="preserve"> and often implemented </w:t>
      </w:r>
      <w:r w:rsidR="00726675">
        <w:t>unilaterally, as opposed to within a more coordinated regional response</w:t>
      </w:r>
      <w:r w:rsidR="00DB7D0E">
        <w:t xml:space="preserve">. </w:t>
      </w:r>
      <w:r w:rsidR="00C41282">
        <w:t xml:space="preserve">The </w:t>
      </w:r>
      <w:r w:rsidR="00540FFE">
        <w:t>mechanisms</w:t>
      </w:r>
      <w:r w:rsidR="00C41282">
        <w:t xml:space="preserve"> do not necessarily address all of the specific protection needs of </w:t>
      </w:r>
      <w:r w:rsidR="00C41282">
        <w:lastRenderedPageBreak/>
        <w:t xml:space="preserve">migrants residing in or transiting through a country when a disaster strikes, such as challenges accessing state protection and assistance as a non-citizen and/or as a non-documented person.  Some temporary </w:t>
      </w:r>
      <w:r w:rsidR="00C41282" w:rsidRPr="00061F61">
        <w:t xml:space="preserve">protection mechanisms may also </w:t>
      </w:r>
      <w:r w:rsidR="00FA629A" w:rsidRPr="00061F61">
        <w:t xml:space="preserve">be </w:t>
      </w:r>
      <w:r w:rsidR="00061F61" w:rsidRPr="00061F61">
        <w:t>used for long</w:t>
      </w:r>
      <w:r w:rsidR="00FA629A" w:rsidRPr="00061F61">
        <w:t xml:space="preserve"> periods of time, </w:t>
      </w:r>
      <w:r w:rsidR="00C41282" w:rsidRPr="00061F61">
        <w:t>le</w:t>
      </w:r>
      <w:r w:rsidR="00FA629A" w:rsidRPr="00463467">
        <w:t>av</w:t>
      </w:r>
      <w:r w:rsidR="00FA629A" w:rsidRPr="00B66E87">
        <w:t>ing</w:t>
      </w:r>
      <w:r w:rsidR="00726675" w:rsidRPr="0068496D">
        <w:t xml:space="preserve"> people </w:t>
      </w:r>
      <w:r w:rsidR="00FA629A" w:rsidRPr="00061F61">
        <w:t>on</w:t>
      </w:r>
      <w:r w:rsidR="00726675" w:rsidRPr="00061F61">
        <w:t xml:space="preserve"> temporary arrangement</w:t>
      </w:r>
      <w:r w:rsidR="00061F61" w:rsidRPr="00061F61">
        <w:t>s</w:t>
      </w:r>
      <w:r w:rsidR="00726675" w:rsidRPr="00061F61">
        <w:t xml:space="preserve"> for extended periods of time</w:t>
      </w:r>
      <w:r w:rsidR="00061F61" w:rsidRPr="00061F61">
        <w:t>, while others end abruptly, leaving people</w:t>
      </w:r>
      <w:r w:rsidR="00726675" w:rsidRPr="00061F61">
        <w:t xml:space="preserve"> at risk of premature return.</w:t>
      </w:r>
    </w:p>
    <w:p w:rsidR="00726675" w:rsidRDefault="00726675" w:rsidP="000D5A8F">
      <w:pPr>
        <w:jc w:val="both"/>
      </w:pPr>
      <w:r>
        <w:t>During the Nansen Initiative Regional Consultations, participants identified the following needs in relation to temporary protection mechanisms in disaster situations:</w:t>
      </w:r>
    </w:p>
    <w:p w:rsidR="00726675" w:rsidRDefault="00726675" w:rsidP="00726675">
      <w:pPr>
        <w:pStyle w:val="Default"/>
        <w:numPr>
          <w:ilvl w:val="0"/>
          <w:numId w:val="2"/>
        </w:numPr>
        <w:spacing w:after="30"/>
        <w:jc w:val="both"/>
        <w:rPr>
          <w:sz w:val="22"/>
          <w:szCs w:val="22"/>
        </w:rPr>
      </w:pPr>
      <w:r>
        <w:rPr>
          <w:sz w:val="22"/>
          <w:szCs w:val="22"/>
        </w:rPr>
        <w:t xml:space="preserve">Promote and harmonize the use of humanitarian visas for the admission of persons displaced by disasters. </w:t>
      </w:r>
    </w:p>
    <w:p w:rsidR="00726675" w:rsidRDefault="00726675" w:rsidP="00726675">
      <w:pPr>
        <w:pStyle w:val="Default"/>
        <w:numPr>
          <w:ilvl w:val="0"/>
          <w:numId w:val="2"/>
        </w:numPr>
        <w:spacing w:after="30"/>
        <w:jc w:val="both"/>
        <w:rPr>
          <w:sz w:val="22"/>
          <w:szCs w:val="22"/>
        </w:rPr>
      </w:pPr>
      <w:r>
        <w:rPr>
          <w:sz w:val="22"/>
          <w:szCs w:val="22"/>
        </w:rPr>
        <w:t xml:space="preserve">Develop criteria for identifying persons eligible to receive humanitarian visas. </w:t>
      </w:r>
    </w:p>
    <w:p w:rsidR="00726675" w:rsidRDefault="00726675" w:rsidP="00726675">
      <w:pPr>
        <w:pStyle w:val="Default"/>
        <w:numPr>
          <w:ilvl w:val="0"/>
          <w:numId w:val="2"/>
        </w:numPr>
        <w:spacing w:after="30"/>
        <w:jc w:val="both"/>
        <w:rPr>
          <w:sz w:val="22"/>
          <w:szCs w:val="22"/>
        </w:rPr>
      </w:pPr>
      <w:r>
        <w:rPr>
          <w:sz w:val="22"/>
          <w:szCs w:val="22"/>
        </w:rPr>
        <w:t xml:space="preserve">Explore possibilities to ensure that beneficiaries of humanitarian visas have access to comprehensive and durable solutions when their visas expire. </w:t>
      </w:r>
    </w:p>
    <w:p w:rsidR="00726675" w:rsidRDefault="00212B46" w:rsidP="00726675">
      <w:pPr>
        <w:pStyle w:val="Default"/>
        <w:numPr>
          <w:ilvl w:val="0"/>
          <w:numId w:val="2"/>
        </w:numPr>
        <w:spacing w:after="30"/>
        <w:jc w:val="both"/>
        <w:rPr>
          <w:sz w:val="22"/>
          <w:szCs w:val="22"/>
        </w:rPr>
      </w:pPr>
      <w:r>
        <w:rPr>
          <w:sz w:val="22"/>
          <w:szCs w:val="22"/>
        </w:rPr>
        <w:t>Consider protection</w:t>
      </w:r>
      <w:r w:rsidR="00726675">
        <w:rPr>
          <w:sz w:val="22"/>
          <w:szCs w:val="22"/>
        </w:rPr>
        <w:t xml:space="preserve"> measures for all migrants when their countries of origin are faced with emergency situations caused by disasters.</w:t>
      </w:r>
    </w:p>
    <w:p w:rsidR="00726675" w:rsidRDefault="00726675" w:rsidP="00726675">
      <w:pPr>
        <w:pStyle w:val="Default"/>
        <w:numPr>
          <w:ilvl w:val="0"/>
          <w:numId w:val="2"/>
        </w:numPr>
        <w:jc w:val="both"/>
        <w:rPr>
          <w:sz w:val="22"/>
          <w:szCs w:val="22"/>
        </w:rPr>
      </w:pPr>
      <w:r>
        <w:rPr>
          <w:sz w:val="22"/>
          <w:szCs w:val="22"/>
        </w:rPr>
        <w:t xml:space="preserve">Develop guidelines that are applicable in the region within the context of the Regional Conference on Migration’s work. </w:t>
      </w:r>
    </w:p>
    <w:p w:rsidR="00210420" w:rsidRPr="00954802" w:rsidRDefault="00210420" w:rsidP="000D5A8F">
      <w:pPr>
        <w:jc w:val="both"/>
        <w:rPr>
          <w:lang w:val="en-US"/>
        </w:rPr>
      </w:pPr>
    </w:p>
    <w:p w:rsidR="00915DC9" w:rsidRPr="009535CF" w:rsidRDefault="008E64D9" w:rsidP="00915DC9">
      <w:pPr>
        <w:pStyle w:val="Default"/>
        <w:jc w:val="both"/>
        <w:rPr>
          <w:b/>
        </w:rPr>
      </w:pPr>
      <w:r>
        <w:rPr>
          <w:b/>
          <w:sz w:val="22"/>
          <w:szCs w:val="22"/>
        </w:rPr>
        <w:t xml:space="preserve">V. </w:t>
      </w:r>
      <w:r w:rsidR="00061F61">
        <w:rPr>
          <w:b/>
          <w:sz w:val="22"/>
          <w:szCs w:val="22"/>
        </w:rPr>
        <w:t>Methodology to</w:t>
      </w:r>
      <w:r w:rsidR="00915DC9" w:rsidRPr="009535CF">
        <w:rPr>
          <w:b/>
          <w:sz w:val="22"/>
          <w:szCs w:val="22"/>
        </w:rPr>
        <w:t xml:space="preserve"> Develop Guidelines </w:t>
      </w:r>
      <w:r w:rsidR="00F52962">
        <w:rPr>
          <w:b/>
          <w:i/>
          <w:sz w:val="22"/>
          <w:szCs w:val="22"/>
        </w:rPr>
        <w:t>on admission and stay for people moving in the cont</w:t>
      </w:r>
      <w:r w:rsidR="00B056AA">
        <w:rPr>
          <w:b/>
          <w:i/>
          <w:sz w:val="22"/>
          <w:szCs w:val="22"/>
        </w:rPr>
        <w:t>ext of disasters across borders.</w:t>
      </w:r>
    </w:p>
    <w:p w:rsidR="00915DC9" w:rsidRPr="001845B0" w:rsidRDefault="00915DC9" w:rsidP="00915DC9">
      <w:pPr>
        <w:pStyle w:val="Default"/>
        <w:ind w:left="360"/>
        <w:jc w:val="both"/>
        <w:rPr>
          <w:b/>
          <w:sz w:val="22"/>
          <w:szCs w:val="22"/>
        </w:rPr>
      </w:pPr>
    </w:p>
    <w:p w:rsidR="00915DC9" w:rsidRDefault="00061F61" w:rsidP="00915DC9">
      <w:pPr>
        <w:jc w:val="both"/>
      </w:pPr>
      <w:r>
        <w:t>Building upon existing practice in the region, t</w:t>
      </w:r>
      <w:r w:rsidR="00915DC9">
        <w:t>his concept note outlines a proposal</w:t>
      </w:r>
      <w:r w:rsidR="00915DC9" w:rsidRPr="009A1D59">
        <w:t xml:space="preserve"> </w:t>
      </w:r>
      <w:r w:rsidR="00915DC9">
        <w:t>for a process to prepare the drafting of g</w:t>
      </w:r>
      <w:r w:rsidR="00915DC9" w:rsidRPr="009A1D59">
        <w:t xml:space="preserve">uidelines </w:t>
      </w:r>
      <w:r w:rsidR="00F52962">
        <w:t xml:space="preserve">on </w:t>
      </w:r>
      <w:r w:rsidR="00F52962" w:rsidRPr="00F52962">
        <w:t xml:space="preserve">admission and stay for people moving in the context of </w:t>
      </w:r>
      <w:r w:rsidR="007937DE" w:rsidRPr="00F52962">
        <w:t>disasters</w:t>
      </w:r>
      <w:r w:rsidR="007937DE">
        <w:rPr>
          <w:b/>
          <w:i/>
        </w:rPr>
        <w:t xml:space="preserve"> </w:t>
      </w:r>
      <w:r w:rsidR="007937DE" w:rsidRPr="007937DE">
        <w:rPr>
          <w:i/>
        </w:rPr>
        <w:t>within</w:t>
      </w:r>
      <w:r w:rsidR="00915DC9" w:rsidRPr="007937DE">
        <w:t xml:space="preserve"> </w:t>
      </w:r>
      <w:r w:rsidR="00915DC9">
        <w:t xml:space="preserve">the context of the scope and work of the Regional Conference on Migration. </w:t>
      </w:r>
    </w:p>
    <w:p w:rsidR="00061F61" w:rsidRDefault="00061F61" w:rsidP="00061F61">
      <w:r>
        <w:t>The objective of the preparatory process and the RCM Workshop is to develop guidelines or a manual that cover the three situations described above, namely:</w:t>
      </w:r>
    </w:p>
    <w:p w:rsidR="00061F61" w:rsidRDefault="00061F61" w:rsidP="00061F61">
      <w:pPr>
        <w:pStyle w:val="ListParagraph"/>
        <w:numPr>
          <w:ilvl w:val="1"/>
          <w:numId w:val="1"/>
        </w:numPr>
      </w:pPr>
      <w:r>
        <w:t xml:space="preserve">Admission, including eligibility criteria and criteria for transition to solution. </w:t>
      </w:r>
    </w:p>
    <w:p w:rsidR="00061F61" w:rsidRDefault="00061F61" w:rsidP="00061F61">
      <w:pPr>
        <w:pStyle w:val="ListParagraph"/>
        <w:numPr>
          <w:ilvl w:val="1"/>
          <w:numId w:val="1"/>
        </w:numPr>
      </w:pPr>
      <w:r>
        <w:t>Standards during stay when one’s country is affected by a disaster, which prevent return in safety and dignity</w:t>
      </w:r>
    </w:p>
    <w:p w:rsidR="00061F61" w:rsidRDefault="00061F61" w:rsidP="00061F61">
      <w:pPr>
        <w:pStyle w:val="ListParagraph"/>
        <w:numPr>
          <w:ilvl w:val="1"/>
          <w:numId w:val="1"/>
        </w:numPr>
      </w:pPr>
      <w:r>
        <w:t xml:space="preserve">Standards during stay for migrants caught up in a disaster. </w:t>
      </w:r>
    </w:p>
    <w:p w:rsidR="00061F61" w:rsidRDefault="00061F61" w:rsidP="00061F61">
      <w:r>
        <w:t>The guidelines shall refer to and establish a set of principles and minimum standards for protection and also orient government as to determine:</w:t>
      </w:r>
    </w:p>
    <w:p w:rsidR="00061F61" w:rsidRDefault="00061F61" w:rsidP="00061F61">
      <w:pPr>
        <w:pStyle w:val="ListParagraph"/>
        <w:numPr>
          <w:ilvl w:val="0"/>
          <w:numId w:val="6"/>
        </w:numPr>
      </w:pPr>
      <w:r>
        <w:t>Situations it will cover (scope) and categories of people</w:t>
      </w:r>
      <w:r w:rsidR="00463467">
        <w:t xml:space="preserve"> covered</w:t>
      </w:r>
    </w:p>
    <w:p w:rsidR="00061F61" w:rsidRDefault="00061F61" w:rsidP="00061F61">
      <w:pPr>
        <w:pStyle w:val="ListParagraph"/>
        <w:numPr>
          <w:ilvl w:val="0"/>
          <w:numId w:val="6"/>
        </w:numPr>
      </w:pPr>
      <w:r>
        <w:t xml:space="preserve">Eligibility criteria </w:t>
      </w:r>
    </w:p>
    <w:p w:rsidR="00061F61" w:rsidRDefault="00061F61" w:rsidP="00061F61">
      <w:pPr>
        <w:pStyle w:val="ListParagraph"/>
        <w:numPr>
          <w:ilvl w:val="0"/>
          <w:numId w:val="6"/>
        </w:numPr>
      </w:pPr>
      <w:r>
        <w:t>Admission and reception standards</w:t>
      </w:r>
    </w:p>
    <w:p w:rsidR="00061F61" w:rsidRDefault="00061F61" w:rsidP="00061F61">
      <w:pPr>
        <w:pStyle w:val="ListParagraph"/>
        <w:numPr>
          <w:ilvl w:val="0"/>
          <w:numId w:val="6"/>
        </w:numPr>
      </w:pPr>
      <w:r>
        <w:t>Minimum standards for treatment</w:t>
      </w:r>
    </w:p>
    <w:p w:rsidR="00061F61" w:rsidRDefault="00061F61" w:rsidP="00061F61">
      <w:pPr>
        <w:pStyle w:val="ListParagraph"/>
        <w:numPr>
          <w:ilvl w:val="0"/>
          <w:numId w:val="6"/>
        </w:numPr>
      </w:pPr>
      <w:r>
        <w:t>Criteria for transition to solutions</w:t>
      </w:r>
    </w:p>
    <w:p w:rsidR="00061F61" w:rsidRDefault="00061F61" w:rsidP="00061F61">
      <w:pPr>
        <w:pStyle w:val="ListParagraph"/>
        <w:numPr>
          <w:ilvl w:val="0"/>
          <w:numId w:val="6"/>
        </w:numPr>
      </w:pPr>
      <w:r>
        <w:t>Principles for international cooperation and  solidarity, including burden sha</w:t>
      </w:r>
      <w:r w:rsidR="00463467">
        <w:t>ring and responsibility sharing</w:t>
      </w:r>
    </w:p>
    <w:p w:rsidR="00061F61" w:rsidRDefault="00061F61" w:rsidP="00061F61">
      <w:pPr>
        <w:pStyle w:val="ListParagraph"/>
        <w:numPr>
          <w:ilvl w:val="0"/>
          <w:numId w:val="6"/>
        </w:numPr>
      </w:pPr>
      <w:r>
        <w:t xml:space="preserve">Coordination   </w:t>
      </w:r>
    </w:p>
    <w:p w:rsidR="00061F61" w:rsidRDefault="001D3B23" w:rsidP="002010C5">
      <w:pPr>
        <w:jc w:val="both"/>
      </w:pPr>
      <w:r>
        <w:t>As a first step, a</w:t>
      </w:r>
      <w:r w:rsidR="00061F61">
        <w:t xml:space="preserve"> group of legal experts will be constituted</w:t>
      </w:r>
      <w:r>
        <w:t>,</w:t>
      </w:r>
      <w:r w:rsidR="00061F61">
        <w:t xml:space="preserve"> under the coordination of a </w:t>
      </w:r>
      <w:r>
        <w:t>t</w:t>
      </w:r>
      <w:r w:rsidR="00061F61">
        <w:t xml:space="preserve">eam </w:t>
      </w:r>
      <w:r>
        <w:t>l</w:t>
      </w:r>
      <w:r w:rsidR="00061F61">
        <w:t xml:space="preserve">eader, </w:t>
      </w:r>
      <w:r>
        <w:t xml:space="preserve">and </w:t>
      </w:r>
      <w:r w:rsidR="00061F61">
        <w:t>tasked to</w:t>
      </w:r>
      <w:r>
        <w:t xml:space="preserve">: </w:t>
      </w:r>
      <w:proofErr w:type="spellStart"/>
      <w:r>
        <w:t>i</w:t>
      </w:r>
      <w:proofErr w:type="spellEnd"/>
      <w:r>
        <w:t>)</w:t>
      </w:r>
      <w:r w:rsidR="00061F61">
        <w:t xml:space="preserve"> map existing practice</w:t>
      </w:r>
      <w:r w:rsidR="00463467">
        <w:t xml:space="preserve"> on temporary protection measures</w:t>
      </w:r>
      <w:r w:rsidR="00061F61">
        <w:t xml:space="preserve">, </w:t>
      </w:r>
      <w:r>
        <w:t xml:space="preserve">ii) </w:t>
      </w:r>
      <w:r w:rsidR="00061F61">
        <w:t xml:space="preserve">develop the concept of </w:t>
      </w:r>
      <w:r w:rsidR="00463467">
        <w:lastRenderedPageBreak/>
        <w:t xml:space="preserve">a </w:t>
      </w:r>
      <w:r w:rsidR="00061F61">
        <w:t>humanitarian visa</w:t>
      </w:r>
      <w:r w:rsidR="00463467">
        <w:t xml:space="preserve"> in disaster contexts</w:t>
      </w:r>
      <w:r>
        <w:t>,</w:t>
      </w:r>
      <w:r w:rsidR="00061F61">
        <w:t xml:space="preserve"> and </w:t>
      </w:r>
      <w:r>
        <w:t xml:space="preserve">iii) </w:t>
      </w:r>
      <w:r w:rsidR="00061F61">
        <w:t xml:space="preserve">draft guidelines. The draft guidelines will then be presented to </w:t>
      </w:r>
      <w:r>
        <w:t>RCM Member Countries</w:t>
      </w:r>
      <w:r w:rsidR="00061F61">
        <w:t xml:space="preserve"> at </w:t>
      </w:r>
      <w:r w:rsidR="00F52962">
        <w:t>the</w:t>
      </w:r>
      <w:r w:rsidR="00061F61">
        <w:t xml:space="preserve"> workshop for further discussion, revision</w:t>
      </w:r>
      <w:r w:rsidR="00463467">
        <w:t>,</w:t>
      </w:r>
      <w:r w:rsidR="00061F61">
        <w:t xml:space="preserve"> and approval.  </w:t>
      </w:r>
    </w:p>
    <w:p w:rsidR="007455B2" w:rsidRPr="00555581" w:rsidRDefault="007455B2" w:rsidP="002010C5">
      <w:pPr>
        <w:jc w:val="both"/>
        <w:rPr>
          <w:lang w:val="en-US"/>
        </w:rPr>
      </w:pPr>
    </w:p>
    <w:p w:rsidR="008D657B" w:rsidRDefault="008D657B" w:rsidP="00061F61">
      <w:pPr>
        <w:jc w:val="both"/>
      </w:pPr>
    </w:p>
    <w:p w:rsidR="00AF6AA1" w:rsidRPr="00550385" w:rsidRDefault="00AF6AA1" w:rsidP="001614FC">
      <w:pPr>
        <w:jc w:val="both"/>
        <w:rPr>
          <w:color w:val="1F497D" w:themeColor="text2"/>
          <w:lang w:val="es-MX"/>
        </w:rPr>
      </w:pPr>
      <w:r w:rsidRPr="00550385">
        <w:rPr>
          <w:color w:val="1F497D" w:themeColor="text2"/>
          <w:lang w:val="es-MX"/>
        </w:rPr>
        <w:t xml:space="preserve">. </w:t>
      </w:r>
      <w:bookmarkStart w:id="0" w:name="_GoBack"/>
      <w:bookmarkEnd w:id="0"/>
    </w:p>
    <w:sectPr w:rsidR="00AF6AA1" w:rsidRPr="00550385" w:rsidSect="00FF7A6F">
      <w:footerReference w:type="default" r:id="rId9"/>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0DE" w:rsidRDefault="003F00DE" w:rsidP="00A95103">
      <w:pPr>
        <w:spacing w:after="0" w:line="240" w:lineRule="auto"/>
      </w:pPr>
      <w:r>
        <w:separator/>
      </w:r>
    </w:p>
  </w:endnote>
  <w:endnote w:type="continuationSeparator" w:id="0">
    <w:p w:rsidR="003F00DE" w:rsidRDefault="003F00DE" w:rsidP="00A95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94744"/>
      <w:docPartObj>
        <w:docPartGallery w:val="Page Numbers (Bottom of Page)"/>
        <w:docPartUnique/>
      </w:docPartObj>
    </w:sdtPr>
    <w:sdtEndPr/>
    <w:sdtContent>
      <w:sdt>
        <w:sdtPr>
          <w:id w:val="860082579"/>
          <w:docPartObj>
            <w:docPartGallery w:val="Page Numbers (Top of Page)"/>
            <w:docPartUnique/>
          </w:docPartObj>
        </w:sdtPr>
        <w:sdtEndPr/>
        <w:sdtContent>
          <w:p w:rsidR="00463467" w:rsidRDefault="008F3D0D">
            <w:pPr>
              <w:pStyle w:val="Footer"/>
              <w:jc w:val="right"/>
            </w:pPr>
            <w:proofErr w:type="spellStart"/>
            <w:r>
              <w:t>Página</w:t>
            </w:r>
            <w:proofErr w:type="spellEnd"/>
            <w:r w:rsidR="00463467">
              <w:t xml:space="preserve"> </w:t>
            </w:r>
            <w:r w:rsidR="00463467">
              <w:rPr>
                <w:b/>
                <w:bCs/>
                <w:sz w:val="24"/>
                <w:szCs w:val="24"/>
              </w:rPr>
              <w:fldChar w:fldCharType="begin"/>
            </w:r>
            <w:r w:rsidR="00463467">
              <w:rPr>
                <w:b/>
                <w:bCs/>
              </w:rPr>
              <w:instrText xml:space="preserve"> PAGE </w:instrText>
            </w:r>
            <w:r w:rsidR="00463467">
              <w:rPr>
                <w:b/>
                <w:bCs/>
                <w:sz w:val="24"/>
                <w:szCs w:val="24"/>
              </w:rPr>
              <w:fldChar w:fldCharType="separate"/>
            </w:r>
            <w:r w:rsidR="00B056AA">
              <w:rPr>
                <w:b/>
                <w:bCs/>
                <w:noProof/>
              </w:rPr>
              <w:t>3</w:t>
            </w:r>
            <w:r w:rsidR="00463467">
              <w:rPr>
                <w:b/>
                <w:bCs/>
                <w:sz w:val="24"/>
                <w:szCs w:val="24"/>
              </w:rPr>
              <w:fldChar w:fldCharType="end"/>
            </w:r>
            <w:r w:rsidR="00463467">
              <w:t xml:space="preserve"> </w:t>
            </w:r>
            <w:r>
              <w:t>de</w:t>
            </w:r>
            <w:r w:rsidR="00463467">
              <w:t xml:space="preserve"> </w:t>
            </w:r>
            <w:r w:rsidR="00463467">
              <w:rPr>
                <w:b/>
                <w:bCs/>
                <w:sz w:val="24"/>
                <w:szCs w:val="24"/>
              </w:rPr>
              <w:fldChar w:fldCharType="begin"/>
            </w:r>
            <w:r w:rsidR="00463467">
              <w:rPr>
                <w:b/>
                <w:bCs/>
              </w:rPr>
              <w:instrText xml:space="preserve"> NUMPAGES  </w:instrText>
            </w:r>
            <w:r w:rsidR="00463467">
              <w:rPr>
                <w:b/>
                <w:bCs/>
                <w:sz w:val="24"/>
                <w:szCs w:val="24"/>
              </w:rPr>
              <w:fldChar w:fldCharType="separate"/>
            </w:r>
            <w:r w:rsidR="00B056AA">
              <w:rPr>
                <w:b/>
                <w:bCs/>
                <w:noProof/>
              </w:rPr>
              <w:t>5</w:t>
            </w:r>
            <w:r w:rsidR="00463467">
              <w:rPr>
                <w:b/>
                <w:bCs/>
                <w:sz w:val="24"/>
                <w:szCs w:val="24"/>
              </w:rPr>
              <w:fldChar w:fldCharType="end"/>
            </w:r>
          </w:p>
        </w:sdtContent>
      </w:sdt>
    </w:sdtContent>
  </w:sdt>
  <w:p w:rsidR="00463467" w:rsidRDefault="004634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0DE" w:rsidRDefault="003F00DE" w:rsidP="00A95103">
      <w:pPr>
        <w:spacing w:after="0" w:line="240" w:lineRule="auto"/>
      </w:pPr>
      <w:r>
        <w:separator/>
      </w:r>
    </w:p>
  </w:footnote>
  <w:footnote w:type="continuationSeparator" w:id="0">
    <w:p w:rsidR="003F00DE" w:rsidRDefault="003F00DE" w:rsidP="00A95103">
      <w:pPr>
        <w:spacing w:after="0" w:line="240" w:lineRule="auto"/>
      </w:pPr>
      <w:r>
        <w:continuationSeparator/>
      </w:r>
    </w:p>
  </w:footnote>
  <w:footnote w:id="1">
    <w:p w:rsidR="009966E6" w:rsidRPr="006A3C10" w:rsidRDefault="009966E6">
      <w:pPr>
        <w:pStyle w:val="FootnoteText"/>
        <w:rPr>
          <w:sz w:val="18"/>
          <w:szCs w:val="18"/>
          <w:lang w:val="es-CR"/>
        </w:rPr>
      </w:pPr>
      <w:r w:rsidRPr="006A3C10">
        <w:rPr>
          <w:rStyle w:val="FootnoteReference"/>
          <w:sz w:val="18"/>
          <w:szCs w:val="18"/>
        </w:rPr>
        <w:footnoteRef/>
      </w:r>
      <w:r w:rsidRPr="006A3C10">
        <w:rPr>
          <w:sz w:val="18"/>
          <w:szCs w:val="18"/>
          <w:lang w:val="es-CR"/>
        </w:rPr>
        <w:t xml:space="preserve"> </w:t>
      </w:r>
      <w:r w:rsidRPr="008B5D56">
        <w:rPr>
          <w:rFonts w:cs="Times New Roman"/>
          <w:sz w:val="18"/>
          <w:szCs w:val="18"/>
          <w:lang w:val="es-CR"/>
        </w:rPr>
        <w:t xml:space="preserve">Central America </w:t>
      </w:r>
      <w:proofErr w:type="spellStart"/>
      <w:r w:rsidRPr="008B5D56">
        <w:rPr>
          <w:rFonts w:cs="Times New Roman"/>
          <w:sz w:val="18"/>
          <w:szCs w:val="18"/>
          <w:lang w:val="es-CR"/>
        </w:rPr>
        <w:t>includes</w:t>
      </w:r>
      <w:proofErr w:type="spellEnd"/>
      <w:r w:rsidRPr="008B5D56">
        <w:rPr>
          <w:rFonts w:cs="Times New Roman"/>
          <w:sz w:val="18"/>
          <w:szCs w:val="18"/>
          <w:lang w:val="es-CR"/>
        </w:rPr>
        <w:t xml:space="preserve"> </w:t>
      </w:r>
      <w:proofErr w:type="spellStart"/>
      <w:r w:rsidRPr="008B5D56">
        <w:rPr>
          <w:rFonts w:cs="Times New Roman"/>
          <w:sz w:val="18"/>
          <w:szCs w:val="18"/>
          <w:lang w:val="es-CR"/>
        </w:rPr>
        <w:t>Belize</w:t>
      </w:r>
      <w:proofErr w:type="spellEnd"/>
      <w:r w:rsidRPr="008B5D56">
        <w:rPr>
          <w:rFonts w:cs="Times New Roman"/>
          <w:sz w:val="18"/>
          <w:szCs w:val="18"/>
          <w:lang w:val="es-CR"/>
        </w:rPr>
        <w:t xml:space="preserve">, Costa Rica, El Salvador, Guatemala, Honduras, Nicaragua, and </w:t>
      </w:r>
      <w:proofErr w:type="spellStart"/>
      <w:r w:rsidRPr="008B5D56">
        <w:rPr>
          <w:rFonts w:cs="Times New Roman"/>
          <w:sz w:val="18"/>
          <w:szCs w:val="18"/>
          <w:lang w:val="es-CR"/>
        </w:rPr>
        <w:t>Panama</w:t>
      </w:r>
      <w:proofErr w:type="spellEnd"/>
      <w:r w:rsidRPr="008B5D56">
        <w:rPr>
          <w:rFonts w:cs="Times New Roman"/>
          <w:sz w:val="18"/>
          <w:szCs w:val="18"/>
          <w:lang w:val="es-CR"/>
        </w:rPr>
        <w:t>.</w:t>
      </w:r>
    </w:p>
  </w:footnote>
  <w:footnote w:id="2">
    <w:p w:rsidR="00061F61" w:rsidRPr="00BC321B" w:rsidRDefault="00061F61" w:rsidP="00061F61">
      <w:pPr>
        <w:pStyle w:val="FootnoteText"/>
        <w:rPr>
          <w:sz w:val="18"/>
          <w:szCs w:val="18"/>
        </w:rPr>
      </w:pPr>
      <w:r w:rsidRPr="00BC321B">
        <w:rPr>
          <w:rStyle w:val="FootnoteReference"/>
          <w:sz w:val="18"/>
          <w:szCs w:val="18"/>
        </w:rPr>
        <w:footnoteRef/>
      </w:r>
      <w:r w:rsidRPr="00BC321B">
        <w:rPr>
          <w:sz w:val="18"/>
          <w:szCs w:val="18"/>
        </w:rPr>
        <w:t xml:space="preserve"> The RCM is composed of 11 countries from Central and North America and the Dominican Republic.  </w:t>
      </w:r>
    </w:p>
  </w:footnote>
  <w:footnote w:id="3">
    <w:p w:rsidR="009A1D59" w:rsidRPr="008B5D56" w:rsidRDefault="009A1D59">
      <w:pPr>
        <w:pStyle w:val="FootnoteText"/>
        <w:rPr>
          <w:sz w:val="18"/>
          <w:szCs w:val="18"/>
        </w:rPr>
      </w:pPr>
      <w:r w:rsidRPr="008B5D56">
        <w:rPr>
          <w:rStyle w:val="FootnoteReference"/>
          <w:sz w:val="18"/>
          <w:szCs w:val="18"/>
        </w:rPr>
        <w:footnoteRef/>
      </w:r>
      <w:r w:rsidRPr="008B5D56">
        <w:rPr>
          <w:sz w:val="18"/>
          <w:szCs w:val="18"/>
        </w:rPr>
        <w:t xml:space="preserve"> Please see the Conclusion</w:t>
      </w:r>
      <w:r w:rsidR="008B5D56">
        <w:rPr>
          <w:sz w:val="18"/>
          <w:szCs w:val="18"/>
        </w:rPr>
        <w:t>s</w:t>
      </w:r>
      <w:r w:rsidRPr="008B5D56">
        <w:rPr>
          <w:sz w:val="18"/>
          <w:szCs w:val="18"/>
        </w:rPr>
        <w:t xml:space="preserve"> from the </w:t>
      </w:r>
      <w:r w:rsidR="008B5D56">
        <w:rPr>
          <w:sz w:val="18"/>
          <w:szCs w:val="18"/>
        </w:rPr>
        <w:t xml:space="preserve">Central American </w:t>
      </w:r>
      <w:r w:rsidRPr="008B5D56">
        <w:rPr>
          <w:sz w:val="18"/>
          <w:szCs w:val="18"/>
        </w:rPr>
        <w:t xml:space="preserve">Regional Consultation </w:t>
      </w:r>
      <w:r w:rsidR="008B5D56">
        <w:rPr>
          <w:sz w:val="18"/>
          <w:szCs w:val="18"/>
        </w:rPr>
        <w:t>at</w:t>
      </w:r>
      <w:r w:rsidR="008B5D56" w:rsidRPr="008B5D56">
        <w:rPr>
          <w:sz w:val="18"/>
          <w:szCs w:val="18"/>
        </w:rPr>
        <w:t xml:space="preserve"> </w:t>
      </w:r>
      <w:hyperlink r:id="rId1" w:history="1">
        <w:r w:rsidRPr="008B5D56">
          <w:rPr>
            <w:rStyle w:val="Hyperlink"/>
            <w:sz w:val="18"/>
            <w:szCs w:val="18"/>
          </w:rPr>
          <w:t>http://www.nanseninitiative.org/</w:t>
        </w:r>
      </w:hyperlink>
    </w:p>
    <w:p w:rsidR="009A1D59" w:rsidRPr="008B5D56" w:rsidRDefault="009A1D59">
      <w:pPr>
        <w:pStyle w:val="FootnoteText"/>
        <w:rPr>
          <w:sz w:val="18"/>
          <w:szCs w:val="18"/>
        </w:rPr>
      </w:pPr>
    </w:p>
  </w:footnote>
  <w:footnote w:id="4">
    <w:p w:rsidR="008B5D56" w:rsidRPr="006A3C10" w:rsidRDefault="008B5D56">
      <w:pPr>
        <w:pStyle w:val="FootnoteText"/>
        <w:rPr>
          <w:sz w:val="18"/>
          <w:szCs w:val="18"/>
        </w:rPr>
      </w:pPr>
      <w:r w:rsidRPr="006A3C10">
        <w:rPr>
          <w:rStyle w:val="FootnoteReference"/>
          <w:sz w:val="18"/>
          <w:szCs w:val="18"/>
        </w:rPr>
        <w:footnoteRef/>
      </w:r>
      <w:r w:rsidRPr="006A3C10">
        <w:rPr>
          <w:sz w:val="18"/>
          <w:szCs w:val="18"/>
        </w:rPr>
        <w:t xml:space="preserve"> UNHCR Roundtable on Temporary Protection p 1</w:t>
      </w:r>
    </w:p>
  </w:footnote>
  <w:footnote w:id="5">
    <w:p w:rsidR="008B5D56" w:rsidRPr="006A3C10" w:rsidRDefault="008B5D56">
      <w:pPr>
        <w:pStyle w:val="FootnoteText"/>
        <w:rPr>
          <w:sz w:val="18"/>
          <w:szCs w:val="18"/>
        </w:rPr>
      </w:pPr>
      <w:r w:rsidRPr="006A3C10">
        <w:rPr>
          <w:rStyle w:val="FootnoteReference"/>
          <w:sz w:val="18"/>
          <w:szCs w:val="18"/>
        </w:rPr>
        <w:footnoteRef/>
      </w:r>
      <w:r w:rsidRPr="006A3C10">
        <w:rPr>
          <w:sz w:val="18"/>
          <w:szCs w:val="18"/>
        </w:rPr>
        <w:t xml:space="preserve"> For example, in refugee contexts the concept of temporary protection has been used where individual status determination is impracticable or inapplicable and where existing responses are not adequate or suited.</w:t>
      </w:r>
    </w:p>
  </w:footnote>
  <w:footnote w:id="6">
    <w:p w:rsidR="009535CF" w:rsidRPr="001F6BC2" w:rsidRDefault="009535CF" w:rsidP="003A4781">
      <w:pPr>
        <w:pStyle w:val="FootnoteText"/>
        <w:rPr>
          <w:sz w:val="18"/>
          <w:szCs w:val="18"/>
          <w:lang w:val="en-US"/>
        </w:rPr>
      </w:pPr>
      <w:r w:rsidRPr="008B5D56">
        <w:rPr>
          <w:rStyle w:val="FootnoteReference"/>
          <w:sz w:val="18"/>
          <w:szCs w:val="18"/>
        </w:rPr>
        <w:footnoteRef/>
      </w:r>
      <w:r w:rsidRPr="001F6BC2">
        <w:rPr>
          <w:sz w:val="18"/>
          <w:szCs w:val="18"/>
          <w:lang w:val="en-US"/>
        </w:rPr>
        <w:t xml:space="preserve"> </w:t>
      </w:r>
      <w:proofErr w:type="spellStart"/>
      <w:proofErr w:type="gramStart"/>
      <w:r w:rsidRPr="001F6BC2">
        <w:rPr>
          <w:sz w:val="18"/>
          <w:szCs w:val="18"/>
          <w:lang w:val="en-US"/>
        </w:rPr>
        <w:t>Kälin</w:t>
      </w:r>
      <w:proofErr w:type="spellEnd"/>
      <w:r w:rsidRPr="001F6BC2">
        <w:rPr>
          <w:sz w:val="18"/>
          <w:szCs w:val="18"/>
          <w:lang w:val="en-US"/>
        </w:rPr>
        <w:t xml:space="preserve"> and </w:t>
      </w:r>
      <w:proofErr w:type="spellStart"/>
      <w:r w:rsidRPr="001F6BC2">
        <w:rPr>
          <w:sz w:val="18"/>
          <w:szCs w:val="18"/>
          <w:lang w:val="en-US"/>
        </w:rPr>
        <w:t>Schrepfer</w:t>
      </w:r>
      <w:proofErr w:type="spellEnd"/>
      <w:r w:rsidRPr="001F6BC2">
        <w:rPr>
          <w:sz w:val="18"/>
          <w:szCs w:val="18"/>
          <w:lang w:val="en-US"/>
        </w:rPr>
        <w:t xml:space="preserve"> (2012) at 35.</w:t>
      </w:r>
      <w:proofErr w:type="gramEnd"/>
      <w:r w:rsidRPr="001F6BC2">
        <w:rPr>
          <w:sz w:val="18"/>
          <w:szCs w:val="18"/>
          <w:lang w:val="en-US"/>
        </w:rPr>
        <w:t xml:space="preserve"> See also Chapter Three in</w:t>
      </w:r>
      <w:r w:rsidRPr="001F6BC2">
        <w:rPr>
          <w:color w:val="000000" w:themeColor="text1"/>
          <w:sz w:val="18"/>
          <w:szCs w:val="18"/>
          <w:lang w:val="en-US"/>
        </w:rPr>
        <w:t xml:space="preserve"> </w:t>
      </w:r>
      <w:proofErr w:type="spellStart"/>
      <w:r w:rsidRPr="001F6BC2">
        <w:rPr>
          <w:color w:val="000000" w:themeColor="text1"/>
          <w:sz w:val="18"/>
          <w:szCs w:val="18"/>
          <w:lang w:val="en-US"/>
        </w:rPr>
        <w:t>McAdam</w:t>
      </w:r>
      <w:proofErr w:type="spellEnd"/>
      <w:r w:rsidR="00915DC9">
        <w:rPr>
          <w:color w:val="000000" w:themeColor="text1"/>
          <w:sz w:val="18"/>
          <w:szCs w:val="18"/>
          <w:lang w:val="en-US"/>
        </w:rPr>
        <w:t xml:space="preserve">, </w:t>
      </w:r>
      <w:r w:rsidR="00915DC9">
        <w:rPr>
          <w:i/>
          <w:color w:val="000000" w:themeColor="text1"/>
          <w:sz w:val="18"/>
          <w:szCs w:val="18"/>
          <w:lang w:val="en-US"/>
        </w:rPr>
        <w:t>Climate Change, Forced Migration and International Law</w:t>
      </w:r>
      <w:r w:rsidRPr="001F6BC2">
        <w:rPr>
          <w:color w:val="000000" w:themeColor="text1"/>
          <w:sz w:val="18"/>
          <w:szCs w:val="18"/>
          <w:lang w:val="en-US"/>
        </w:rPr>
        <w:t xml:space="preserve"> (2012).</w:t>
      </w:r>
    </w:p>
  </w:footnote>
  <w:footnote w:id="7">
    <w:p w:rsidR="009535CF" w:rsidRPr="008B5D56" w:rsidRDefault="009535CF" w:rsidP="003A4781">
      <w:pPr>
        <w:pStyle w:val="FootnoteText"/>
        <w:rPr>
          <w:sz w:val="18"/>
          <w:szCs w:val="18"/>
          <w:lang w:val="en-US"/>
        </w:rPr>
      </w:pPr>
      <w:r w:rsidRPr="00061F61">
        <w:rPr>
          <w:rStyle w:val="FootnoteReference"/>
          <w:sz w:val="18"/>
          <w:szCs w:val="18"/>
        </w:rPr>
        <w:footnoteRef/>
      </w:r>
      <w:r w:rsidRPr="00061F61">
        <w:rPr>
          <w:sz w:val="18"/>
          <w:szCs w:val="18"/>
          <w:lang w:val="en-US"/>
        </w:rPr>
        <w:t xml:space="preserve">  See, however, outcomes from the Bellagio Conference on Climate Change and Displacement, </w:t>
      </w:r>
      <w:r w:rsidRPr="00463467">
        <w:rPr>
          <w:color w:val="000000" w:themeColor="text1"/>
          <w:sz w:val="18"/>
          <w:szCs w:val="18"/>
          <w:lang w:val="en-US"/>
        </w:rPr>
        <w:t>which stated that in the case of a mass influx of</w:t>
      </w:r>
      <w:r w:rsidRPr="008B5D56">
        <w:rPr>
          <w:color w:val="000000" w:themeColor="text1"/>
          <w:sz w:val="18"/>
          <w:szCs w:val="18"/>
          <w:lang w:val="en-US"/>
        </w:rPr>
        <w:t xml:space="preserve"> individuals, states have recognized “minimum obligations to ensure admission to safety, respect for basic human rights, protection against </w:t>
      </w:r>
      <w:r w:rsidRPr="008B5D56">
        <w:rPr>
          <w:i/>
          <w:color w:val="000000" w:themeColor="text1"/>
          <w:sz w:val="18"/>
          <w:szCs w:val="18"/>
          <w:lang w:val="en-US"/>
        </w:rPr>
        <w:t>refoulement</w:t>
      </w:r>
      <w:r w:rsidRPr="008B5D56">
        <w:rPr>
          <w:color w:val="000000" w:themeColor="text1"/>
          <w:sz w:val="18"/>
          <w:szCs w:val="18"/>
          <w:lang w:val="en-US"/>
        </w:rPr>
        <w:t xml:space="preserve"> and safe return when conditions permit to the country of origin.  In an analogous situation where persons are in distress at sea, states have accepted time </w:t>
      </w:r>
      <w:proofErr w:type="spellStart"/>
      <w:r w:rsidRPr="008B5D56">
        <w:rPr>
          <w:color w:val="000000" w:themeColor="text1"/>
          <w:sz w:val="18"/>
          <w:szCs w:val="18"/>
          <w:lang w:val="en-US"/>
        </w:rPr>
        <w:t>honoured</w:t>
      </w:r>
      <w:proofErr w:type="spellEnd"/>
      <w:r w:rsidRPr="008B5D56">
        <w:rPr>
          <w:color w:val="000000" w:themeColor="text1"/>
          <w:sz w:val="18"/>
          <w:szCs w:val="18"/>
          <w:lang w:val="en-US"/>
        </w:rPr>
        <w:t xml:space="preserve"> duties to come to their rescue.” </w:t>
      </w:r>
      <w:proofErr w:type="gramStart"/>
      <w:r w:rsidRPr="008B5D56">
        <w:rPr>
          <w:sz w:val="18"/>
          <w:szCs w:val="18"/>
          <w:lang w:val="en-US"/>
        </w:rPr>
        <w:t>UNHCR, “Summary of Deliberations on Climate Change and Displacement,” April 2011, at 5.</w:t>
      </w:r>
      <w:proofErr w:type="gramEnd"/>
    </w:p>
  </w:footnote>
  <w:footnote w:id="8">
    <w:p w:rsidR="009535CF" w:rsidRPr="008B5D56" w:rsidRDefault="009535CF" w:rsidP="003A4781">
      <w:pPr>
        <w:pStyle w:val="FootnoteText"/>
        <w:rPr>
          <w:sz w:val="18"/>
          <w:szCs w:val="18"/>
          <w:lang w:val="en-US"/>
        </w:rPr>
      </w:pPr>
      <w:r w:rsidRPr="008B5D56">
        <w:rPr>
          <w:rStyle w:val="FootnoteReference"/>
          <w:sz w:val="18"/>
          <w:szCs w:val="18"/>
        </w:rPr>
        <w:footnoteRef/>
      </w:r>
      <w:r w:rsidRPr="008B5D56">
        <w:rPr>
          <w:sz w:val="18"/>
          <w:szCs w:val="18"/>
          <w:lang w:val="es-CR"/>
        </w:rPr>
        <w:t xml:space="preserve"> </w:t>
      </w:r>
      <w:proofErr w:type="spellStart"/>
      <w:r w:rsidRPr="008B5D56">
        <w:rPr>
          <w:sz w:val="18"/>
          <w:szCs w:val="18"/>
          <w:lang w:val="es-CR"/>
        </w:rPr>
        <w:t>Belize</w:t>
      </w:r>
      <w:proofErr w:type="spellEnd"/>
      <w:r w:rsidRPr="008B5D56">
        <w:rPr>
          <w:sz w:val="18"/>
          <w:szCs w:val="18"/>
          <w:lang w:val="es-CR"/>
        </w:rPr>
        <w:t xml:space="preserve">, El Salvador, Guatemala, Honduras, </w:t>
      </w:r>
      <w:proofErr w:type="spellStart"/>
      <w:r w:rsidRPr="008B5D56">
        <w:rPr>
          <w:sz w:val="18"/>
          <w:szCs w:val="18"/>
          <w:lang w:val="es-CR"/>
        </w:rPr>
        <w:t>Mexico</w:t>
      </w:r>
      <w:proofErr w:type="spellEnd"/>
      <w:r w:rsidRPr="008B5D56">
        <w:rPr>
          <w:sz w:val="18"/>
          <w:szCs w:val="18"/>
          <w:lang w:val="es-CR"/>
        </w:rPr>
        <w:t xml:space="preserve">, and Nicaragua </w:t>
      </w:r>
      <w:proofErr w:type="spellStart"/>
      <w:r w:rsidRPr="008B5D56">
        <w:rPr>
          <w:sz w:val="18"/>
          <w:szCs w:val="18"/>
          <w:lang w:val="es-CR"/>
        </w:rPr>
        <w:t>have</w:t>
      </w:r>
      <w:proofErr w:type="spellEnd"/>
      <w:r w:rsidRPr="008B5D56">
        <w:rPr>
          <w:sz w:val="18"/>
          <w:szCs w:val="18"/>
          <w:lang w:val="es-CR"/>
        </w:rPr>
        <w:t xml:space="preserve"> </w:t>
      </w:r>
      <w:proofErr w:type="spellStart"/>
      <w:r w:rsidRPr="008B5D56">
        <w:rPr>
          <w:sz w:val="18"/>
          <w:szCs w:val="18"/>
          <w:lang w:val="es-CR"/>
        </w:rPr>
        <w:t>ratified</w:t>
      </w:r>
      <w:proofErr w:type="spellEnd"/>
      <w:r w:rsidRPr="008B5D56">
        <w:rPr>
          <w:sz w:val="18"/>
          <w:szCs w:val="18"/>
          <w:lang w:val="es-CR"/>
        </w:rPr>
        <w:t xml:space="preserve"> the </w:t>
      </w:r>
      <w:proofErr w:type="spellStart"/>
      <w:r w:rsidRPr="008B5D56">
        <w:rPr>
          <w:sz w:val="18"/>
          <w:szCs w:val="18"/>
          <w:lang w:val="es-CR"/>
        </w:rPr>
        <w:t>Treaty</w:t>
      </w:r>
      <w:proofErr w:type="spellEnd"/>
      <w:r w:rsidRPr="008B5D56">
        <w:rPr>
          <w:sz w:val="18"/>
          <w:szCs w:val="18"/>
          <w:lang w:val="es-CR"/>
        </w:rPr>
        <w:t xml:space="preserve">. </w:t>
      </w:r>
      <w:r w:rsidRPr="008B5D56">
        <w:rPr>
          <w:sz w:val="18"/>
          <w:szCs w:val="18"/>
          <w:lang w:val="en-US"/>
        </w:rPr>
        <w:t xml:space="preserve">International Convention on the Protection of the Rights of All Migrant Workers and Members of Their Families (adopted 18 December 1990, entered into force 1 July 2003) 2220 UNTS 93. </w:t>
      </w:r>
    </w:p>
  </w:footnote>
  <w:footnote w:id="9">
    <w:p w:rsidR="008E64D9" w:rsidRPr="00BC321B" w:rsidRDefault="008E64D9" w:rsidP="008E64D9">
      <w:pPr>
        <w:pStyle w:val="FootnoteText"/>
        <w:rPr>
          <w:sz w:val="18"/>
          <w:szCs w:val="18"/>
          <w:lang w:val="en-US"/>
        </w:rPr>
      </w:pPr>
      <w:r w:rsidRPr="00BC321B">
        <w:rPr>
          <w:rStyle w:val="FootnoteReference"/>
          <w:sz w:val="18"/>
          <w:szCs w:val="18"/>
        </w:rPr>
        <w:footnoteRef/>
      </w:r>
      <w:r w:rsidRPr="00BC321B">
        <w:rPr>
          <w:sz w:val="18"/>
          <w:szCs w:val="18"/>
          <w:lang w:val="en-US"/>
        </w:rPr>
        <w:t xml:space="preserve"> These examples from the Haiti context can be found in Patricia Weiss Fagan,</w:t>
      </w:r>
      <w:r w:rsidR="00C41282">
        <w:rPr>
          <w:sz w:val="18"/>
          <w:szCs w:val="18"/>
          <w:lang w:val="en-US"/>
        </w:rPr>
        <w:t xml:space="preserve"> </w:t>
      </w:r>
      <w:r w:rsidRPr="00BC321B">
        <w:rPr>
          <w:sz w:val="18"/>
          <w:szCs w:val="18"/>
          <w:lang w:val="en-US"/>
        </w:rPr>
        <w:t>“Receiving Haitian Migrants</w:t>
      </w:r>
      <w:proofErr w:type="gramStart"/>
      <w:r w:rsidRPr="00BC321B">
        <w:rPr>
          <w:sz w:val="18"/>
          <w:szCs w:val="18"/>
          <w:lang w:val="en-US"/>
        </w:rPr>
        <w:t>,“</w:t>
      </w:r>
      <w:proofErr w:type="gramEnd"/>
      <w:r w:rsidRPr="00BC321B">
        <w:rPr>
          <w:sz w:val="18"/>
          <w:szCs w:val="18"/>
          <w:lang w:val="en-US"/>
        </w:rPr>
        <w:t xml:space="preserve"> a discussion paper produced for the Nansen Initiative Central American Consultation, forthcoming.</w:t>
      </w:r>
    </w:p>
  </w:footnote>
  <w:footnote w:id="10">
    <w:p w:rsidR="00A53C75" w:rsidRPr="002010C5" w:rsidRDefault="00A53C75">
      <w:pPr>
        <w:pStyle w:val="FootnoteText"/>
        <w:rPr>
          <w:sz w:val="18"/>
          <w:szCs w:val="18"/>
        </w:rPr>
      </w:pPr>
      <w:r w:rsidRPr="002010C5">
        <w:rPr>
          <w:rStyle w:val="FootnoteReference"/>
          <w:sz w:val="18"/>
          <w:szCs w:val="18"/>
        </w:rPr>
        <w:footnoteRef/>
      </w:r>
      <w:r w:rsidRPr="002010C5">
        <w:rPr>
          <w:sz w:val="18"/>
          <w:szCs w:val="18"/>
        </w:rPr>
        <w:t xml:space="preserve"> See Jane </w:t>
      </w:r>
      <w:proofErr w:type="spellStart"/>
      <w:r w:rsidRPr="002010C5">
        <w:rPr>
          <w:sz w:val="18"/>
          <w:szCs w:val="18"/>
        </w:rPr>
        <w:t>MacAdams</w:t>
      </w:r>
      <w:proofErr w:type="spellEnd"/>
      <w:r w:rsidRPr="002010C5">
        <w:rPr>
          <w:sz w:val="18"/>
          <w:szCs w:val="18"/>
        </w:rPr>
        <w:t xml:space="preserve"> p 38 / Desk review.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8FF"/>
    <w:multiLevelType w:val="hybridMultilevel"/>
    <w:tmpl w:val="0DD02392"/>
    <w:lvl w:ilvl="0" w:tplc="8382B0F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C570CA8"/>
    <w:multiLevelType w:val="hybridMultilevel"/>
    <w:tmpl w:val="429CEFF2"/>
    <w:lvl w:ilvl="0" w:tplc="162E36F2">
      <w:start w:val="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2A8018DC"/>
    <w:multiLevelType w:val="hybridMultilevel"/>
    <w:tmpl w:val="6B5C3250"/>
    <w:lvl w:ilvl="0" w:tplc="A770F2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3B26F88"/>
    <w:multiLevelType w:val="hybridMultilevel"/>
    <w:tmpl w:val="FC20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F8063B"/>
    <w:multiLevelType w:val="hybridMultilevel"/>
    <w:tmpl w:val="F80200D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DCF7562"/>
    <w:multiLevelType w:val="hybridMultilevel"/>
    <w:tmpl w:val="598CAF52"/>
    <w:lvl w:ilvl="0" w:tplc="31447A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FC9464C"/>
    <w:multiLevelType w:val="hybridMultilevel"/>
    <w:tmpl w:val="4F90C43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nsid w:val="482C0282"/>
    <w:multiLevelType w:val="hybridMultilevel"/>
    <w:tmpl w:val="56A097A8"/>
    <w:lvl w:ilvl="0" w:tplc="140A0019">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nsid w:val="570644E2"/>
    <w:multiLevelType w:val="hybridMultilevel"/>
    <w:tmpl w:val="A0267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7171B0"/>
    <w:multiLevelType w:val="hybridMultilevel"/>
    <w:tmpl w:val="7CD2E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F986AA8"/>
    <w:multiLevelType w:val="hybridMultilevel"/>
    <w:tmpl w:val="06E28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0"/>
  </w:num>
  <w:num w:numId="5">
    <w:abstractNumId w:val="0"/>
  </w:num>
  <w:num w:numId="6">
    <w:abstractNumId w:val="5"/>
  </w:num>
  <w:num w:numId="7">
    <w:abstractNumId w:val="9"/>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D9"/>
    <w:rsid w:val="00051B27"/>
    <w:rsid w:val="00061F61"/>
    <w:rsid w:val="00091613"/>
    <w:rsid w:val="000A67FA"/>
    <w:rsid w:val="000D5A8F"/>
    <w:rsid w:val="000E097D"/>
    <w:rsid w:val="000F6DC2"/>
    <w:rsid w:val="001343E5"/>
    <w:rsid w:val="001425ED"/>
    <w:rsid w:val="0014283A"/>
    <w:rsid w:val="001614FC"/>
    <w:rsid w:val="00173F0B"/>
    <w:rsid w:val="001845B0"/>
    <w:rsid w:val="001B5C65"/>
    <w:rsid w:val="001C06CA"/>
    <w:rsid w:val="001D3B23"/>
    <w:rsid w:val="001D654D"/>
    <w:rsid w:val="001E6515"/>
    <w:rsid w:val="001E7483"/>
    <w:rsid w:val="001F6BC2"/>
    <w:rsid w:val="002010C5"/>
    <w:rsid w:val="00202B91"/>
    <w:rsid w:val="00210420"/>
    <w:rsid w:val="00210557"/>
    <w:rsid w:val="00210837"/>
    <w:rsid w:val="00212B46"/>
    <w:rsid w:val="00296312"/>
    <w:rsid w:val="002A61BD"/>
    <w:rsid w:val="002B58E8"/>
    <w:rsid w:val="00302D25"/>
    <w:rsid w:val="00304948"/>
    <w:rsid w:val="00315B77"/>
    <w:rsid w:val="00322573"/>
    <w:rsid w:val="00364FE7"/>
    <w:rsid w:val="003A4781"/>
    <w:rsid w:val="003F00DE"/>
    <w:rsid w:val="00424154"/>
    <w:rsid w:val="0043650D"/>
    <w:rsid w:val="00463467"/>
    <w:rsid w:val="004827C0"/>
    <w:rsid w:val="00490FDF"/>
    <w:rsid w:val="004E66AD"/>
    <w:rsid w:val="00504483"/>
    <w:rsid w:val="00522F75"/>
    <w:rsid w:val="00524BED"/>
    <w:rsid w:val="00540FFE"/>
    <w:rsid w:val="00550385"/>
    <w:rsid w:val="00553F75"/>
    <w:rsid w:val="00555581"/>
    <w:rsid w:val="005960E7"/>
    <w:rsid w:val="005C56F6"/>
    <w:rsid w:val="005D4F45"/>
    <w:rsid w:val="005F04BA"/>
    <w:rsid w:val="005F6A39"/>
    <w:rsid w:val="0060253F"/>
    <w:rsid w:val="00627FC7"/>
    <w:rsid w:val="00642440"/>
    <w:rsid w:val="00651B22"/>
    <w:rsid w:val="0065339C"/>
    <w:rsid w:val="00666567"/>
    <w:rsid w:val="0068496D"/>
    <w:rsid w:val="006A3C10"/>
    <w:rsid w:val="006B710A"/>
    <w:rsid w:val="006C206C"/>
    <w:rsid w:val="006C3ABE"/>
    <w:rsid w:val="006C4419"/>
    <w:rsid w:val="006D32BA"/>
    <w:rsid w:val="006E3065"/>
    <w:rsid w:val="006F5862"/>
    <w:rsid w:val="00707CE0"/>
    <w:rsid w:val="00726675"/>
    <w:rsid w:val="007455B2"/>
    <w:rsid w:val="007760C1"/>
    <w:rsid w:val="0079155D"/>
    <w:rsid w:val="007937DE"/>
    <w:rsid w:val="007D0BB9"/>
    <w:rsid w:val="008174AB"/>
    <w:rsid w:val="00850B67"/>
    <w:rsid w:val="00856C5C"/>
    <w:rsid w:val="00884BE8"/>
    <w:rsid w:val="008A33CF"/>
    <w:rsid w:val="008B5D56"/>
    <w:rsid w:val="008D1854"/>
    <w:rsid w:val="008D657B"/>
    <w:rsid w:val="008E2B3D"/>
    <w:rsid w:val="008E64D9"/>
    <w:rsid w:val="008F3D0D"/>
    <w:rsid w:val="009077FC"/>
    <w:rsid w:val="00915DC9"/>
    <w:rsid w:val="00952049"/>
    <w:rsid w:val="009535CF"/>
    <w:rsid w:val="00954802"/>
    <w:rsid w:val="00975A3F"/>
    <w:rsid w:val="009768E2"/>
    <w:rsid w:val="00984D7D"/>
    <w:rsid w:val="009966E6"/>
    <w:rsid w:val="009A1D59"/>
    <w:rsid w:val="009C0089"/>
    <w:rsid w:val="009F1B63"/>
    <w:rsid w:val="00A12D6E"/>
    <w:rsid w:val="00A213B9"/>
    <w:rsid w:val="00A53C75"/>
    <w:rsid w:val="00A67B2C"/>
    <w:rsid w:val="00A95103"/>
    <w:rsid w:val="00AA5A69"/>
    <w:rsid w:val="00AB4FC2"/>
    <w:rsid w:val="00AB7FB5"/>
    <w:rsid w:val="00AC35B5"/>
    <w:rsid w:val="00AD16D7"/>
    <w:rsid w:val="00AF6AA1"/>
    <w:rsid w:val="00B0529F"/>
    <w:rsid w:val="00B056AA"/>
    <w:rsid w:val="00B17CA8"/>
    <w:rsid w:val="00B24622"/>
    <w:rsid w:val="00B37959"/>
    <w:rsid w:val="00B52BA0"/>
    <w:rsid w:val="00B64453"/>
    <w:rsid w:val="00B64B5B"/>
    <w:rsid w:val="00B66E87"/>
    <w:rsid w:val="00B74BD6"/>
    <w:rsid w:val="00B80F97"/>
    <w:rsid w:val="00BB02E3"/>
    <w:rsid w:val="00BB68D5"/>
    <w:rsid w:val="00BE29F6"/>
    <w:rsid w:val="00BF56A1"/>
    <w:rsid w:val="00C05AD0"/>
    <w:rsid w:val="00C27AB3"/>
    <w:rsid w:val="00C41282"/>
    <w:rsid w:val="00C76FC9"/>
    <w:rsid w:val="00C84DBB"/>
    <w:rsid w:val="00CA3A0D"/>
    <w:rsid w:val="00CB0550"/>
    <w:rsid w:val="00CF5A5E"/>
    <w:rsid w:val="00D01CFB"/>
    <w:rsid w:val="00D111D9"/>
    <w:rsid w:val="00D13D7E"/>
    <w:rsid w:val="00D1401F"/>
    <w:rsid w:val="00D37445"/>
    <w:rsid w:val="00D52359"/>
    <w:rsid w:val="00D54A18"/>
    <w:rsid w:val="00D57D05"/>
    <w:rsid w:val="00D7000E"/>
    <w:rsid w:val="00D80222"/>
    <w:rsid w:val="00D96097"/>
    <w:rsid w:val="00DA01A5"/>
    <w:rsid w:val="00DB4959"/>
    <w:rsid w:val="00DB7D0E"/>
    <w:rsid w:val="00DC2D72"/>
    <w:rsid w:val="00DE4F11"/>
    <w:rsid w:val="00DF7220"/>
    <w:rsid w:val="00E11F87"/>
    <w:rsid w:val="00E12E40"/>
    <w:rsid w:val="00E1731A"/>
    <w:rsid w:val="00E444F2"/>
    <w:rsid w:val="00E50AA6"/>
    <w:rsid w:val="00E739E2"/>
    <w:rsid w:val="00E801CC"/>
    <w:rsid w:val="00E93547"/>
    <w:rsid w:val="00E959A7"/>
    <w:rsid w:val="00EA0490"/>
    <w:rsid w:val="00EB13E6"/>
    <w:rsid w:val="00EB3176"/>
    <w:rsid w:val="00EB6795"/>
    <w:rsid w:val="00EF19E0"/>
    <w:rsid w:val="00F34CD7"/>
    <w:rsid w:val="00F52962"/>
    <w:rsid w:val="00F61672"/>
    <w:rsid w:val="00F969A2"/>
    <w:rsid w:val="00FA629A"/>
    <w:rsid w:val="00FE11C8"/>
    <w:rsid w:val="00FE78D3"/>
    <w:rsid w:val="00FF7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1D9"/>
    <w:pPr>
      <w:ind w:left="720"/>
      <w:contextualSpacing/>
    </w:pPr>
  </w:style>
  <w:style w:type="paragraph" w:customStyle="1" w:styleId="Default">
    <w:name w:val="Default"/>
    <w:rsid w:val="001C06CA"/>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Char Char Char Char Char Char Char Char Char,Footnote Text Char Char Char Char Char Char Char Char Char Char Char Char Char Char Char Char Char Char Char Char Char Char Char Char Char,Footnote Text Char1 Char Char Char"/>
    <w:basedOn w:val="Normal"/>
    <w:link w:val="FootnoteTextChar"/>
    <w:uiPriority w:val="99"/>
    <w:unhideWhenUsed/>
    <w:rsid w:val="00A95103"/>
    <w:pPr>
      <w:spacing w:after="0" w:line="240" w:lineRule="auto"/>
    </w:pPr>
    <w:rPr>
      <w:sz w:val="20"/>
      <w:szCs w:val="20"/>
    </w:rPr>
  </w:style>
  <w:style w:type="character" w:customStyle="1" w:styleId="FootnoteTextChar">
    <w:name w:val="Footnote Text Char"/>
    <w:aliases w:val="Char Char Char Char Char Char Char Char Char Char,Footnote Text Char Char Char Char Char Char Char Char Char Char Char Char Char Char Char Char Char Char Char Char Char Char Char Char Char Char,Footnote Text Char1 Char Char Char Char"/>
    <w:basedOn w:val="DefaultParagraphFont"/>
    <w:link w:val="FootnoteText"/>
    <w:uiPriority w:val="99"/>
    <w:rsid w:val="00A95103"/>
    <w:rPr>
      <w:sz w:val="20"/>
      <w:szCs w:val="20"/>
    </w:rPr>
  </w:style>
  <w:style w:type="character" w:styleId="FootnoteReference">
    <w:name w:val="footnote reference"/>
    <w:basedOn w:val="DefaultParagraphFont"/>
    <w:uiPriority w:val="99"/>
    <w:unhideWhenUsed/>
    <w:rsid w:val="00A95103"/>
    <w:rPr>
      <w:vertAlign w:val="superscript"/>
    </w:rPr>
  </w:style>
  <w:style w:type="paragraph" w:styleId="EndnoteText">
    <w:name w:val="endnote text"/>
    <w:basedOn w:val="Normal"/>
    <w:link w:val="EndnoteTextChar"/>
    <w:uiPriority w:val="99"/>
    <w:semiHidden/>
    <w:unhideWhenUsed/>
    <w:rsid w:val="003A4781"/>
    <w:pPr>
      <w:spacing w:after="0" w:line="240" w:lineRule="auto"/>
    </w:pPr>
    <w:rPr>
      <w:rFonts w:eastAsiaTheme="minorEastAsia"/>
      <w:sz w:val="20"/>
      <w:szCs w:val="20"/>
      <w:lang w:val="de-CH" w:eastAsia="de-CH"/>
    </w:rPr>
  </w:style>
  <w:style w:type="character" w:customStyle="1" w:styleId="EndnoteTextChar">
    <w:name w:val="Endnote Text Char"/>
    <w:basedOn w:val="DefaultParagraphFont"/>
    <w:link w:val="EndnoteText"/>
    <w:uiPriority w:val="99"/>
    <w:semiHidden/>
    <w:rsid w:val="003A4781"/>
    <w:rPr>
      <w:rFonts w:eastAsiaTheme="minorEastAsia"/>
      <w:sz w:val="20"/>
      <w:szCs w:val="20"/>
      <w:lang w:val="de-CH" w:eastAsia="de-CH"/>
    </w:rPr>
  </w:style>
  <w:style w:type="character" w:styleId="EndnoteReference">
    <w:name w:val="endnote reference"/>
    <w:basedOn w:val="DefaultParagraphFont"/>
    <w:uiPriority w:val="99"/>
    <w:semiHidden/>
    <w:unhideWhenUsed/>
    <w:rsid w:val="003A4781"/>
    <w:rPr>
      <w:vertAlign w:val="superscript"/>
    </w:rPr>
  </w:style>
  <w:style w:type="character" w:styleId="Hyperlink">
    <w:name w:val="Hyperlink"/>
    <w:basedOn w:val="DefaultParagraphFont"/>
    <w:uiPriority w:val="99"/>
    <w:unhideWhenUsed/>
    <w:rsid w:val="009A1D59"/>
    <w:rPr>
      <w:color w:val="0000FF" w:themeColor="hyperlink"/>
      <w:u w:val="single"/>
    </w:rPr>
  </w:style>
  <w:style w:type="paragraph" w:styleId="BalloonText">
    <w:name w:val="Balloon Text"/>
    <w:basedOn w:val="Normal"/>
    <w:link w:val="BalloonTextChar"/>
    <w:uiPriority w:val="99"/>
    <w:semiHidden/>
    <w:unhideWhenUsed/>
    <w:rsid w:val="001E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483"/>
    <w:rPr>
      <w:rFonts w:ascii="Tahoma" w:hAnsi="Tahoma" w:cs="Tahoma"/>
      <w:sz w:val="16"/>
      <w:szCs w:val="16"/>
    </w:rPr>
  </w:style>
  <w:style w:type="character" w:styleId="CommentReference">
    <w:name w:val="annotation reference"/>
    <w:basedOn w:val="DefaultParagraphFont"/>
    <w:uiPriority w:val="99"/>
    <w:semiHidden/>
    <w:unhideWhenUsed/>
    <w:rsid w:val="009077FC"/>
    <w:rPr>
      <w:sz w:val="16"/>
      <w:szCs w:val="16"/>
    </w:rPr>
  </w:style>
  <w:style w:type="paragraph" w:styleId="CommentText">
    <w:name w:val="annotation text"/>
    <w:basedOn w:val="Normal"/>
    <w:link w:val="CommentTextChar"/>
    <w:uiPriority w:val="99"/>
    <w:semiHidden/>
    <w:unhideWhenUsed/>
    <w:rsid w:val="009077FC"/>
    <w:pPr>
      <w:spacing w:line="240" w:lineRule="auto"/>
    </w:pPr>
    <w:rPr>
      <w:sz w:val="20"/>
      <w:szCs w:val="20"/>
    </w:rPr>
  </w:style>
  <w:style w:type="character" w:customStyle="1" w:styleId="CommentTextChar">
    <w:name w:val="Comment Text Char"/>
    <w:basedOn w:val="DefaultParagraphFont"/>
    <w:link w:val="CommentText"/>
    <w:uiPriority w:val="99"/>
    <w:semiHidden/>
    <w:rsid w:val="009077FC"/>
    <w:rPr>
      <w:sz w:val="20"/>
      <w:szCs w:val="20"/>
    </w:rPr>
  </w:style>
  <w:style w:type="paragraph" w:styleId="CommentSubject">
    <w:name w:val="annotation subject"/>
    <w:basedOn w:val="CommentText"/>
    <w:next w:val="CommentText"/>
    <w:link w:val="CommentSubjectChar"/>
    <w:uiPriority w:val="99"/>
    <w:semiHidden/>
    <w:unhideWhenUsed/>
    <w:rsid w:val="009077FC"/>
    <w:rPr>
      <w:b/>
      <w:bCs/>
    </w:rPr>
  </w:style>
  <w:style w:type="character" w:customStyle="1" w:styleId="CommentSubjectChar">
    <w:name w:val="Comment Subject Char"/>
    <w:basedOn w:val="CommentTextChar"/>
    <w:link w:val="CommentSubject"/>
    <w:uiPriority w:val="99"/>
    <w:semiHidden/>
    <w:rsid w:val="009077FC"/>
    <w:rPr>
      <w:b/>
      <w:bCs/>
      <w:sz w:val="20"/>
      <w:szCs w:val="20"/>
    </w:rPr>
  </w:style>
  <w:style w:type="paragraph" w:styleId="Header">
    <w:name w:val="header"/>
    <w:basedOn w:val="Normal"/>
    <w:link w:val="HeaderChar"/>
    <w:uiPriority w:val="99"/>
    <w:unhideWhenUsed/>
    <w:rsid w:val="00463467"/>
    <w:pPr>
      <w:tabs>
        <w:tab w:val="center" w:pos="4703"/>
        <w:tab w:val="right" w:pos="9406"/>
      </w:tabs>
      <w:spacing w:after="0" w:line="240" w:lineRule="auto"/>
    </w:pPr>
  </w:style>
  <w:style w:type="character" w:customStyle="1" w:styleId="HeaderChar">
    <w:name w:val="Header Char"/>
    <w:basedOn w:val="DefaultParagraphFont"/>
    <w:link w:val="Header"/>
    <w:uiPriority w:val="99"/>
    <w:rsid w:val="00463467"/>
  </w:style>
  <w:style w:type="paragraph" w:styleId="Footer">
    <w:name w:val="footer"/>
    <w:basedOn w:val="Normal"/>
    <w:link w:val="FooterChar"/>
    <w:uiPriority w:val="99"/>
    <w:unhideWhenUsed/>
    <w:rsid w:val="00463467"/>
    <w:pPr>
      <w:tabs>
        <w:tab w:val="center" w:pos="4703"/>
        <w:tab w:val="right" w:pos="9406"/>
      </w:tabs>
      <w:spacing w:after="0" w:line="240" w:lineRule="auto"/>
    </w:pPr>
  </w:style>
  <w:style w:type="character" w:customStyle="1" w:styleId="FooterChar">
    <w:name w:val="Footer Char"/>
    <w:basedOn w:val="DefaultParagraphFont"/>
    <w:link w:val="Footer"/>
    <w:uiPriority w:val="99"/>
    <w:rsid w:val="004634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1D9"/>
    <w:pPr>
      <w:ind w:left="720"/>
      <w:contextualSpacing/>
    </w:pPr>
  </w:style>
  <w:style w:type="paragraph" w:customStyle="1" w:styleId="Default">
    <w:name w:val="Default"/>
    <w:rsid w:val="001C06CA"/>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Char Char Char Char Char Char Char Char Char,Footnote Text Char Char Char Char Char Char Char Char Char Char Char Char Char Char Char Char Char Char Char Char Char Char Char Char Char,Footnote Text Char1 Char Char Char"/>
    <w:basedOn w:val="Normal"/>
    <w:link w:val="FootnoteTextChar"/>
    <w:uiPriority w:val="99"/>
    <w:unhideWhenUsed/>
    <w:rsid w:val="00A95103"/>
    <w:pPr>
      <w:spacing w:after="0" w:line="240" w:lineRule="auto"/>
    </w:pPr>
    <w:rPr>
      <w:sz w:val="20"/>
      <w:szCs w:val="20"/>
    </w:rPr>
  </w:style>
  <w:style w:type="character" w:customStyle="1" w:styleId="FootnoteTextChar">
    <w:name w:val="Footnote Text Char"/>
    <w:aliases w:val="Char Char Char Char Char Char Char Char Char Char,Footnote Text Char Char Char Char Char Char Char Char Char Char Char Char Char Char Char Char Char Char Char Char Char Char Char Char Char Char,Footnote Text Char1 Char Char Char Char"/>
    <w:basedOn w:val="DefaultParagraphFont"/>
    <w:link w:val="FootnoteText"/>
    <w:uiPriority w:val="99"/>
    <w:rsid w:val="00A95103"/>
    <w:rPr>
      <w:sz w:val="20"/>
      <w:szCs w:val="20"/>
    </w:rPr>
  </w:style>
  <w:style w:type="character" w:styleId="FootnoteReference">
    <w:name w:val="footnote reference"/>
    <w:basedOn w:val="DefaultParagraphFont"/>
    <w:uiPriority w:val="99"/>
    <w:unhideWhenUsed/>
    <w:rsid w:val="00A95103"/>
    <w:rPr>
      <w:vertAlign w:val="superscript"/>
    </w:rPr>
  </w:style>
  <w:style w:type="paragraph" w:styleId="EndnoteText">
    <w:name w:val="endnote text"/>
    <w:basedOn w:val="Normal"/>
    <w:link w:val="EndnoteTextChar"/>
    <w:uiPriority w:val="99"/>
    <w:semiHidden/>
    <w:unhideWhenUsed/>
    <w:rsid w:val="003A4781"/>
    <w:pPr>
      <w:spacing w:after="0" w:line="240" w:lineRule="auto"/>
    </w:pPr>
    <w:rPr>
      <w:rFonts w:eastAsiaTheme="minorEastAsia"/>
      <w:sz w:val="20"/>
      <w:szCs w:val="20"/>
      <w:lang w:val="de-CH" w:eastAsia="de-CH"/>
    </w:rPr>
  </w:style>
  <w:style w:type="character" w:customStyle="1" w:styleId="EndnoteTextChar">
    <w:name w:val="Endnote Text Char"/>
    <w:basedOn w:val="DefaultParagraphFont"/>
    <w:link w:val="EndnoteText"/>
    <w:uiPriority w:val="99"/>
    <w:semiHidden/>
    <w:rsid w:val="003A4781"/>
    <w:rPr>
      <w:rFonts w:eastAsiaTheme="minorEastAsia"/>
      <w:sz w:val="20"/>
      <w:szCs w:val="20"/>
      <w:lang w:val="de-CH" w:eastAsia="de-CH"/>
    </w:rPr>
  </w:style>
  <w:style w:type="character" w:styleId="EndnoteReference">
    <w:name w:val="endnote reference"/>
    <w:basedOn w:val="DefaultParagraphFont"/>
    <w:uiPriority w:val="99"/>
    <w:semiHidden/>
    <w:unhideWhenUsed/>
    <w:rsid w:val="003A4781"/>
    <w:rPr>
      <w:vertAlign w:val="superscript"/>
    </w:rPr>
  </w:style>
  <w:style w:type="character" w:styleId="Hyperlink">
    <w:name w:val="Hyperlink"/>
    <w:basedOn w:val="DefaultParagraphFont"/>
    <w:uiPriority w:val="99"/>
    <w:unhideWhenUsed/>
    <w:rsid w:val="009A1D59"/>
    <w:rPr>
      <w:color w:val="0000FF" w:themeColor="hyperlink"/>
      <w:u w:val="single"/>
    </w:rPr>
  </w:style>
  <w:style w:type="paragraph" w:styleId="BalloonText">
    <w:name w:val="Balloon Text"/>
    <w:basedOn w:val="Normal"/>
    <w:link w:val="BalloonTextChar"/>
    <w:uiPriority w:val="99"/>
    <w:semiHidden/>
    <w:unhideWhenUsed/>
    <w:rsid w:val="001E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483"/>
    <w:rPr>
      <w:rFonts w:ascii="Tahoma" w:hAnsi="Tahoma" w:cs="Tahoma"/>
      <w:sz w:val="16"/>
      <w:szCs w:val="16"/>
    </w:rPr>
  </w:style>
  <w:style w:type="character" w:styleId="CommentReference">
    <w:name w:val="annotation reference"/>
    <w:basedOn w:val="DefaultParagraphFont"/>
    <w:uiPriority w:val="99"/>
    <w:semiHidden/>
    <w:unhideWhenUsed/>
    <w:rsid w:val="009077FC"/>
    <w:rPr>
      <w:sz w:val="16"/>
      <w:szCs w:val="16"/>
    </w:rPr>
  </w:style>
  <w:style w:type="paragraph" w:styleId="CommentText">
    <w:name w:val="annotation text"/>
    <w:basedOn w:val="Normal"/>
    <w:link w:val="CommentTextChar"/>
    <w:uiPriority w:val="99"/>
    <w:semiHidden/>
    <w:unhideWhenUsed/>
    <w:rsid w:val="009077FC"/>
    <w:pPr>
      <w:spacing w:line="240" w:lineRule="auto"/>
    </w:pPr>
    <w:rPr>
      <w:sz w:val="20"/>
      <w:szCs w:val="20"/>
    </w:rPr>
  </w:style>
  <w:style w:type="character" w:customStyle="1" w:styleId="CommentTextChar">
    <w:name w:val="Comment Text Char"/>
    <w:basedOn w:val="DefaultParagraphFont"/>
    <w:link w:val="CommentText"/>
    <w:uiPriority w:val="99"/>
    <w:semiHidden/>
    <w:rsid w:val="009077FC"/>
    <w:rPr>
      <w:sz w:val="20"/>
      <w:szCs w:val="20"/>
    </w:rPr>
  </w:style>
  <w:style w:type="paragraph" w:styleId="CommentSubject">
    <w:name w:val="annotation subject"/>
    <w:basedOn w:val="CommentText"/>
    <w:next w:val="CommentText"/>
    <w:link w:val="CommentSubjectChar"/>
    <w:uiPriority w:val="99"/>
    <w:semiHidden/>
    <w:unhideWhenUsed/>
    <w:rsid w:val="009077FC"/>
    <w:rPr>
      <w:b/>
      <w:bCs/>
    </w:rPr>
  </w:style>
  <w:style w:type="character" w:customStyle="1" w:styleId="CommentSubjectChar">
    <w:name w:val="Comment Subject Char"/>
    <w:basedOn w:val="CommentTextChar"/>
    <w:link w:val="CommentSubject"/>
    <w:uiPriority w:val="99"/>
    <w:semiHidden/>
    <w:rsid w:val="009077FC"/>
    <w:rPr>
      <w:b/>
      <w:bCs/>
      <w:sz w:val="20"/>
      <w:szCs w:val="20"/>
    </w:rPr>
  </w:style>
  <w:style w:type="paragraph" w:styleId="Header">
    <w:name w:val="header"/>
    <w:basedOn w:val="Normal"/>
    <w:link w:val="HeaderChar"/>
    <w:uiPriority w:val="99"/>
    <w:unhideWhenUsed/>
    <w:rsid w:val="00463467"/>
    <w:pPr>
      <w:tabs>
        <w:tab w:val="center" w:pos="4703"/>
        <w:tab w:val="right" w:pos="9406"/>
      </w:tabs>
      <w:spacing w:after="0" w:line="240" w:lineRule="auto"/>
    </w:pPr>
  </w:style>
  <w:style w:type="character" w:customStyle="1" w:styleId="HeaderChar">
    <w:name w:val="Header Char"/>
    <w:basedOn w:val="DefaultParagraphFont"/>
    <w:link w:val="Header"/>
    <w:uiPriority w:val="99"/>
    <w:rsid w:val="00463467"/>
  </w:style>
  <w:style w:type="paragraph" w:styleId="Footer">
    <w:name w:val="footer"/>
    <w:basedOn w:val="Normal"/>
    <w:link w:val="FooterChar"/>
    <w:uiPriority w:val="99"/>
    <w:unhideWhenUsed/>
    <w:rsid w:val="00463467"/>
    <w:pPr>
      <w:tabs>
        <w:tab w:val="center" w:pos="4703"/>
        <w:tab w:val="right" w:pos="9406"/>
      </w:tabs>
      <w:spacing w:after="0" w:line="240" w:lineRule="auto"/>
    </w:pPr>
  </w:style>
  <w:style w:type="character" w:customStyle="1" w:styleId="FooterChar">
    <w:name w:val="Footer Char"/>
    <w:basedOn w:val="DefaultParagraphFont"/>
    <w:link w:val="Footer"/>
    <w:uiPriority w:val="99"/>
    <w:rsid w:val="00463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0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anseniniti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F1641-AD6D-48B2-AF90-9FC15174E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UNOPS</Company>
  <LinksUpToDate>false</LinksUpToDate>
  <CharactersWithSpaces>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Atle SOLBERG</dc:creator>
  <cp:lastModifiedBy>BUSH Oliver</cp:lastModifiedBy>
  <cp:revision>6</cp:revision>
  <cp:lastPrinted>2014-01-31T14:29:00Z</cp:lastPrinted>
  <dcterms:created xsi:type="dcterms:W3CDTF">2014-02-06T18:58:00Z</dcterms:created>
  <dcterms:modified xsi:type="dcterms:W3CDTF">2014-11-18T15:15:00Z</dcterms:modified>
</cp:coreProperties>
</file>