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973" w:rsidRDefault="00260973" w:rsidP="00260973">
      <w:pPr>
        <w:jc w:val="both"/>
        <w:rPr>
          <w:lang w:val="es-CR"/>
        </w:rPr>
      </w:pPr>
    </w:p>
    <w:p w:rsidR="007F0533" w:rsidRPr="000556F8" w:rsidRDefault="007F0533" w:rsidP="007F0533">
      <w:pPr>
        <w:spacing w:after="0" w:line="240" w:lineRule="auto"/>
        <w:jc w:val="center"/>
        <w:rPr>
          <w:rFonts w:ascii="Arial" w:hAnsi="Arial" w:cs="Arial"/>
          <w:b/>
          <w:lang w:val="es-CR"/>
        </w:rPr>
      </w:pPr>
      <w:r w:rsidRPr="000556F8">
        <w:rPr>
          <w:rFonts w:ascii="Arial" w:hAnsi="Arial" w:cs="Arial"/>
          <w:b/>
          <w:lang w:val="es-CR"/>
        </w:rPr>
        <w:t>REUNIÓN PLENARIA DE LA</w:t>
      </w:r>
    </w:p>
    <w:p w:rsidR="007F0533" w:rsidRPr="000556F8" w:rsidRDefault="007F0533" w:rsidP="007F0533">
      <w:pPr>
        <w:spacing w:after="0" w:line="240" w:lineRule="auto"/>
        <w:jc w:val="center"/>
        <w:rPr>
          <w:rFonts w:ascii="Arial" w:hAnsi="Arial" w:cs="Arial"/>
          <w:b/>
          <w:lang w:val="es-CR"/>
        </w:rPr>
      </w:pPr>
      <w:r w:rsidRPr="000556F8">
        <w:rPr>
          <w:rFonts w:ascii="Arial" w:hAnsi="Arial" w:cs="Arial"/>
          <w:b/>
          <w:lang w:val="es-CR"/>
        </w:rPr>
        <w:t xml:space="preserve"> CONFERENCIA REGIONAL SOBRE MIGRACIÓN </w:t>
      </w:r>
      <w:r>
        <w:rPr>
          <w:rFonts w:ascii="Arial" w:hAnsi="Arial" w:cs="Arial"/>
          <w:b/>
          <w:lang w:val="es-CR"/>
        </w:rPr>
        <w:t xml:space="preserve">(CRM) </w:t>
      </w:r>
      <w:r w:rsidRPr="000556F8">
        <w:rPr>
          <w:rFonts w:ascii="Arial" w:hAnsi="Arial" w:cs="Arial"/>
          <w:b/>
          <w:lang w:val="es-CR"/>
        </w:rPr>
        <w:t xml:space="preserve">Y LA </w:t>
      </w:r>
    </w:p>
    <w:p w:rsidR="007F0533" w:rsidRPr="000556F8" w:rsidRDefault="007F0533" w:rsidP="007F0533">
      <w:pPr>
        <w:spacing w:after="0" w:line="240" w:lineRule="auto"/>
        <w:jc w:val="center"/>
        <w:rPr>
          <w:rFonts w:ascii="Arial" w:hAnsi="Arial" w:cs="Arial"/>
          <w:b/>
          <w:lang w:val="es-CR"/>
        </w:rPr>
      </w:pPr>
      <w:r w:rsidRPr="000556F8">
        <w:rPr>
          <w:rFonts w:ascii="Arial" w:hAnsi="Arial" w:cs="Arial"/>
          <w:b/>
          <w:lang w:val="es-CR"/>
        </w:rPr>
        <w:t>CONFERENCIA SURAMERICANA SOBRE MIGRACIONES</w:t>
      </w:r>
      <w:r>
        <w:rPr>
          <w:rFonts w:ascii="Arial" w:hAnsi="Arial" w:cs="Arial"/>
          <w:b/>
          <w:lang w:val="es-CR"/>
        </w:rPr>
        <w:t xml:space="preserve"> (</w:t>
      </w:r>
      <w:r w:rsidR="001A6BCF">
        <w:rPr>
          <w:rFonts w:ascii="Arial" w:hAnsi="Arial" w:cs="Arial"/>
          <w:b/>
          <w:lang w:val="es-CR"/>
        </w:rPr>
        <w:t>CSM</w:t>
      </w:r>
      <w:bookmarkStart w:id="0" w:name="_GoBack"/>
      <w:bookmarkEnd w:id="0"/>
      <w:r>
        <w:rPr>
          <w:rFonts w:ascii="Arial" w:hAnsi="Arial" w:cs="Arial"/>
          <w:b/>
          <w:lang w:val="es-CR"/>
        </w:rPr>
        <w:t>)</w:t>
      </w:r>
    </w:p>
    <w:p w:rsidR="007F0533" w:rsidRPr="000556F8" w:rsidRDefault="007F0533" w:rsidP="007F0533">
      <w:pPr>
        <w:pStyle w:val="Sinespaciado"/>
        <w:jc w:val="center"/>
        <w:rPr>
          <w:rFonts w:ascii="Arial" w:hAnsi="Arial" w:cs="Arial"/>
          <w:b/>
          <w:u w:val="single"/>
          <w:lang w:val="es-MX"/>
        </w:rPr>
      </w:pPr>
    </w:p>
    <w:p w:rsidR="007F0533" w:rsidRPr="007F0533" w:rsidRDefault="007F0533" w:rsidP="007F0533">
      <w:pPr>
        <w:pStyle w:val="Sinespaciado"/>
        <w:jc w:val="center"/>
        <w:rPr>
          <w:rFonts w:ascii="Arial" w:hAnsi="Arial" w:cs="Arial"/>
          <w:b/>
          <w:lang w:val="es-MX"/>
        </w:rPr>
      </w:pPr>
      <w:r w:rsidRPr="00776736">
        <w:rPr>
          <w:rFonts w:ascii="Arial" w:hAnsi="Arial" w:cs="Arial"/>
          <w:b/>
          <w:lang w:val="es-MX"/>
        </w:rPr>
        <w:t>8 y 9 de mayo de 2018, Montevideo, Uruguay</w:t>
      </w:r>
    </w:p>
    <w:p w:rsidR="007F0533" w:rsidRDefault="007F0533" w:rsidP="007F0533">
      <w:pPr>
        <w:pStyle w:val="Sinespaciado"/>
        <w:jc w:val="center"/>
        <w:rPr>
          <w:rFonts w:ascii="Arial" w:hAnsi="Arial" w:cs="Arial"/>
          <w:lang w:val="es-MX"/>
        </w:rPr>
      </w:pPr>
      <w:r w:rsidRPr="00283D96">
        <w:rPr>
          <w:rFonts w:ascii="Arial" w:hAnsi="Arial" w:cs="Arial"/>
          <w:lang w:val="es-MX"/>
        </w:rPr>
        <w:t>Lugar: Salón de Actos la Asociación Latinoam</w:t>
      </w:r>
      <w:r>
        <w:rPr>
          <w:rFonts w:ascii="Arial" w:hAnsi="Arial" w:cs="Arial"/>
          <w:lang w:val="es-MX"/>
        </w:rPr>
        <w:t>ericana de Integración (ALADI)</w:t>
      </w:r>
    </w:p>
    <w:p w:rsidR="007F0533" w:rsidRPr="007F0533" w:rsidRDefault="007F0533" w:rsidP="00260973">
      <w:pPr>
        <w:jc w:val="both"/>
        <w:rPr>
          <w:lang w:val="es-MX"/>
        </w:rPr>
      </w:pPr>
    </w:p>
    <w:p w:rsidR="00286B58" w:rsidRPr="000141F5" w:rsidRDefault="00286B58" w:rsidP="00260973">
      <w:pPr>
        <w:jc w:val="both"/>
        <w:rPr>
          <w:lang w:val="es-CR"/>
        </w:rPr>
      </w:pPr>
      <w:r w:rsidRPr="000141F5">
        <w:rPr>
          <w:lang w:val="es-CR"/>
        </w:rPr>
        <w:t>Lo</w:t>
      </w:r>
      <w:r w:rsidR="000141F5">
        <w:rPr>
          <w:lang w:val="es-CR"/>
        </w:rPr>
        <w:t xml:space="preserve">s días 8 y 9 de mayo de 2018 se realizó en Montevideo, Uruguay, la Reunión Plenaria de la Conferencia Regional sobre Migración (CRM) y la Conferencia Suramericana sobre Migraciones (CSM), con la presencia de los siguientes países miembros de ambos procesos: República Argentina, Belice, Estado Plurinacional de Bolivia, </w:t>
      </w:r>
      <w:r w:rsidR="00260973">
        <w:rPr>
          <w:lang w:val="es-CR"/>
        </w:rPr>
        <w:t xml:space="preserve">República Federativa de Brasil, </w:t>
      </w:r>
      <w:r w:rsidR="000141F5">
        <w:rPr>
          <w:lang w:val="es-CR"/>
        </w:rPr>
        <w:t xml:space="preserve">Canadá, </w:t>
      </w:r>
      <w:r w:rsidR="00260973">
        <w:rPr>
          <w:lang w:val="es-CR"/>
        </w:rPr>
        <w:t xml:space="preserve">República de Chile, </w:t>
      </w:r>
      <w:r w:rsidR="000141F5">
        <w:rPr>
          <w:lang w:val="es-CR"/>
        </w:rPr>
        <w:t xml:space="preserve">Costa Rica, </w:t>
      </w:r>
      <w:r w:rsidR="00260973">
        <w:rPr>
          <w:lang w:val="es-CR"/>
        </w:rPr>
        <w:t xml:space="preserve">República de Colombia, </w:t>
      </w:r>
      <w:r w:rsidR="000141F5">
        <w:rPr>
          <w:lang w:val="es-CR"/>
        </w:rPr>
        <w:t xml:space="preserve">República de Ecuador, </w:t>
      </w:r>
      <w:r w:rsidR="00260973">
        <w:rPr>
          <w:lang w:val="es-CR"/>
        </w:rPr>
        <w:t xml:space="preserve">El Salvador, </w:t>
      </w:r>
      <w:r w:rsidR="000141F5">
        <w:rPr>
          <w:lang w:val="es-CR"/>
        </w:rPr>
        <w:t xml:space="preserve">Estados Unidos, </w:t>
      </w:r>
      <w:r w:rsidR="00260973">
        <w:rPr>
          <w:lang w:val="es-CR"/>
        </w:rPr>
        <w:t xml:space="preserve">Guatemala, </w:t>
      </w:r>
      <w:r w:rsidR="000141F5">
        <w:rPr>
          <w:lang w:val="es-CR"/>
        </w:rPr>
        <w:t xml:space="preserve">Honduras, </w:t>
      </w:r>
      <w:r w:rsidR="00260973">
        <w:rPr>
          <w:lang w:val="es-CR"/>
        </w:rPr>
        <w:t xml:space="preserve">México, </w:t>
      </w:r>
      <w:r w:rsidR="000141F5">
        <w:rPr>
          <w:lang w:val="es-CR"/>
        </w:rPr>
        <w:t xml:space="preserve">Nicaragua, </w:t>
      </w:r>
      <w:r w:rsidR="00260973">
        <w:rPr>
          <w:lang w:val="es-CR"/>
        </w:rPr>
        <w:t xml:space="preserve">Panamá, República </w:t>
      </w:r>
      <w:r w:rsidR="000141F5">
        <w:rPr>
          <w:lang w:val="es-CR"/>
        </w:rPr>
        <w:t xml:space="preserve">Paraguay, </w:t>
      </w:r>
      <w:r w:rsidR="00260973">
        <w:rPr>
          <w:lang w:val="es-CR"/>
        </w:rPr>
        <w:t xml:space="preserve">República de Perú, </w:t>
      </w:r>
      <w:r w:rsidR="000141F5">
        <w:rPr>
          <w:lang w:val="es-CR"/>
        </w:rPr>
        <w:t>República Dominicana</w:t>
      </w:r>
      <w:r w:rsidR="00260973">
        <w:rPr>
          <w:lang w:val="es-CR"/>
        </w:rPr>
        <w:t>, República Oriental del Uruguay</w:t>
      </w:r>
      <w:r w:rsidR="000141F5">
        <w:rPr>
          <w:lang w:val="es-CR"/>
        </w:rPr>
        <w:t xml:space="preserve"> y República Bolivariana de Venezuela.</w:t>
      </w:r>
    </w:p>
    <w:p w:rsidR="00286B58" w:rsidRDefault="00286B58" w:rsidP="00260973">
      <w:pPr>
        <w:jc w:val="both"/>
        <w:rPr>
          <w:b/>
          <w:lang w:val="es-CR"/>
        </w:rPr>
      </w:pPr>
    </w:p>
    <w:p w:rsidR="00692591" w:rsidRPr="001B119E" w:rsidRDefault="00692591" w:rsidP="00260973">
      <w:pPr>
        <w:jc w:val="both"/>
        <w:rPr>
          <w:b/>
          <w:lang w:val="es-CR"/>
        </w:rPr>
      </w:pPr>
      <w:r w:rsidRPr="001B119E">
        <w:rPr>
          <w:b/>
          <w:lang w:val="es-CR"/>
        </w:rPr>
        <w:t xml:space="preserve">RESUMEN </w:t>
      </w:r>
      <w:r>
        <w:rPr>
          <w:b/>
          <w:lang w:val="es-CR"/>
        </w:rPr>
        <w:t>DE TEMAS ABORDADOS DEL DÍA 1</w:t>
      </w:r>
    </w:p>
    <w:p w:rsidR="006E75CB" w:rsidRPr="00C01BEC" w:rsidRDefault="006E75CB" w:rsidP="00260973">
      <w:pPr>
        <w:jc w:val="both"/>
        <w:rPr>
          <w:b/>
          <w:lang w:val="es-CR"/>
        </w:rPr>
      </w:pPr>
      <w:r w:rsidRPr="006E75CB">
        <w:rPr>
          <w:b/>
          <w:lang w:val="es-CR"/>
        </w:rPr>
        <w:t>Bloque 1:</w:t>
      </w:r>
      <w:r w:rsidR="00C01BEC">
        <w:rPr>
          <w:b/>
          <w:lang w:val="es-CR"/>
        </w:rPr>
        <w:t xml:space="preserve"> </w:t>
      </w:r>
      <w:r w:rsidR="00C01BEC" w:rsidRPr="00C01BEC">
        <w:rPr>
          <w:b/>
          <w:lang w:val="es-CR"/>
        </w:rPr>
        <w:t>Pacto Mundial para una Migración Segura, Ordenada y Regular</w:t>
      </w:r>
    </w:p>
    <w:p w:rsidR="00EB75BF" w:rsidRPr="00EB75BF" w:rsidRDefault="00EB75BF" w:rsidP="00260973">
      <w:pPr>
        <w:jc w:val="both"/>
        <w:rPr>
          <w:lang w:val="es-CR"/>
        </w:rPr>
      </w:pPr>
      <w:r w:rsidRPr="00EB75BF">
        <w:rPr>
          <w:lang w:val="es-CR"/>
        </w:rPr>
        <w:t xml:space="preserve">En el marco del diálogo sobre el proceso del Pacto Mundial para una Migración Segura, Ordenada y Regular, </w:t>
      </w:r>
      <w:r w:rsidR="00BD682C">
        <w:rPr>
          <w:lang w:val="es-CR"/>
        </w:rPr>
        <w:t>a</w:t>
      </w:r>
      <w:r w:rsidRPr="00EB75BF">
        <w:rPr>
          <w:lang w:val="es-CR"/>
        </w:rPr>
        <w:t>mbos procesos reconocieron los aspectos en común identificados en las Declaraciones de la CRM y la CSM, la Declaración Especial Viceministerial y la Declaración de Lima, respectivamente.</w:t>
      </w:r>
    </w:p>
    <w:p w:rsidR="00692591" w:rsidRPr="001B119E" w:rsidRDefault="006E35A5" w:rsidP="00260973">
      <w:pPr>
        <w:jc w:val="both"/>
        <w:rPr>
          <w:lang w:val="es-CR"/>
        </w:rPr>
      </w:pPr>
      <w:r>
        <w:rPr>
          <w:lang w:val="es-CR"/>
        </w:rPr>
        <w:t>A</w:t>
      </w:r>
      <w:r w:rsidR="00EB75BF">
        <w:rPr>
          <w:lang w:val="es-CR"/>
        </w:rPr>
        <w:t>lguna</w:t>
      </w:r>
      <w:r w:rsidR="00097974">
        <w:rPr>
          <w:lang w:val="es-CR"/>
        </w:rPr>
        <w:t xml:space="preserve">s </w:t>
      </w:r>
      <w:r w:rsidR="00EB75BF">
        <w:rPr>
          <w:lang w:val="es-CR"/>
        </w:rPr>
        <w:t>delegaciones</w:t>
      </w:r>
      <w:r w:rsidR="00097974">
        <w:rPr>
          <w:lang w:val="es-CR"/>
        </w:rPr>
        <w:t xml:space="preserve"> identificaron los siguientes elementos:</w:t>
      </w:r>
    </w:p>
    <w:p w:rsidR="00692591" w:rsidRDefault="00BD682C" w:rsidP="00260973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>P</w:t>
      </w:r>
      <w:r w:rsidR="00692591">
        <w:rPr>
          <w:lang w:val="es-CR"/>
        </w:rPr>
        <w:t>rotección y</w:t>
      </w:r>
      <w:r>
        <w:rPr>
          <w:lang w:val="es-CR"/>
        </w:rPr>
        <w:t xml:space="preserve"> promoción de</w:t>
      </w:r>
      <w:r w:rsidR="00692591">
        <w:rPr>
          <w:lang w:val="es-CR"/>
        </w:rPr>
        <w:t xml:space="preserve"> los derechos humanos como uno de los ejes fundamentales del Pacto.</w:t>
      </w:r>
    </w:p>
    <w:p w:rsidR="00BD682C" w:rsidRDefault="00692591" w:rsidP="00260973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>Cooperación</w:t>
      </w:r>
      <w:r w:rsidR="00B91C23">
        <w:rPr>
          <w:lang w:val="es-CR"/>
        </w:rPr>
        <w:t xml:space="preserve"> Internacional</w:t>
      </w:r>
    </w:p>
    <w:p w:rsidR="00BD682C" w:rsidRDefault="00692591" w:rsidP="00260973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>Gobernanza</w:t>
      </w:r>
      <w:r w:rsidR="00B91C23">
        <w:rPr>
          <w:lang w:val="es-CR"/>
        </w:rPr>
        <w:t xml:space="preserve"> Migratoria</w:t>
      </w:r>
    </w:p>
    <w:p w:rsidR="00B12FFD" w:rsidRDefault="00692591" w:rsidP="00260973">
      <w:pPr>
        <w:pStyle w:val="Prrafodelista"/>
        <w:numPr>
          <w:ilvl w:val="0"/>
          <w:numId w:val="1"/>
        </w:numPr>
        <w:jc w:val="both"/>
        <w:rPr>
          <w:lang w:val="es-CR"/>
        </w:rPr>
      </w:pPr>
      <w:r w:rsidRPr="00BD682C">
        <w:rPr>
          <w:lang w:val="es-CR"/>
        </w:rPr>
        <w:t>No criminalización</w:t>
      </w:r>
      <w:r w:rsidR="00B91C23" w:rsidRPr="00BD682C">
        <w:rPr>
          <w:lang w:val="es-CR"/>
        </w:rPr>
        <w:t xml:space="preserve"> de la migración irregular</w:t>
      </w:r>
      <w:r w:rsidRPr="00BD682C">
        <w:rPr>
          <w:lang w:val="es-CR"/>
        </w:rPr>
        <w:t xml:space="preserve"> y no discriminación como principios rectores del Pacto.</w:t>
      </w:r>
    </w:p>
    <w:p w:rsidR="00692591" w:rsidRPr="00B12FFD" w:rsidRDefault="00692591" w:rsidP="00260973">
      <w:pPr>
        <w:pStyle w:val="Prrafodelista"/>
        <w:numPr>
          <w:ilvl w:val="0"/>
          <w:numId w:val="1"/>
        </w:numPr>
        <w:jc w:val="both"/>
        <w:rPr>
          <w:lang w:val="es-CR"/>
        </w:rPr>
      </w:pPr>
      <w:r w:rsidRPr="00B12FFD">
        <w:rPr>
          <w:lang w:val="es-CR"/>
        </w:rPr>
        <w:t xml:space="preserve">Seguridad fronteriza por medio de acciones proporcionales que no vulneren los derechos humanos de las personas </w:t>
      </w:r>
      <w:r w:rsidR="00B91C23" w:rsidRPr="00B12FFD">
        <w:rPr>
          <w:lang w:val="es-CR"/>
        </w:rPr>
        <w:t>migrantes</w:t>
      </w:r>
      <w:r w:rsidRPr="00B12FFD">
        <w:rPr>
          <w:lang w:val="es-CR"/>
        </w:rPr>
        <w:t>, con el respeto a la diversidad de género.</w:t>
      </w:r>
    </w:p>
    <w:p w:rsidR="00692591" w:rsidRDefault="00B12FFD" w:rsidP="00260973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>P</w:t>
      </w:r>
      <w:r w:rsidR="00692591">
        <w:rPr>
          <w:lang w:val="es-CR"/>
        </w:rPr>
        <w:t xml:space="preserve">rotección a las personas migrantes en </w:t>
      </w:r>
      <w:r>
        <w:rPr>
          <w:lang w:val="es-CR"/>
        </w:rPr>
        <w:t>condición</w:t>
      </w:r>
      <w:r w:rsidR="00692591">
        <w:rPr>
          <w:lang w:val="es-CR"/>
        </w:rPr>
        <w:t xml:space="preserve"> de vulnerabilidad, </w:t>
      </w:r>
      <w:r>
        <w:rPr>
          <w:lang w:val="es-CR"/>
        </w:rPr>
        <w:t>con</w:t>
      </w:r>
      <w:r w:rsidR="00692591">
        <w:rPr>
          <w:lang w:val="es-CR"/>
        </w:rPr>
        <w:t xml:space="preserve"> énfasis </w:t>
      </w:r>
      <w:r>
        <w:rPr>
          <w:lang w:val="es-CR"/>
        </w:rPr>
        <w:t xml:space="preserve">en </w:t>
      </w:r>
      <w:r w:rsidR="00692591">
        <w:rPr>
          <w:lang w:val="es-CR"/>
        </w:rPr>
        <w:t>la protección de niños, niñas y adolescentes migrantes. Es importante garantizar el bienestar de la</w:t>
      </w:r>
      <w:r>
        <w:rPr>
          <w:lang w:val="es-CR"/>
        </w:rPr>
        <w:t>s</w:t>
      </w:r>
      <w:r w:rsidR="00692591">
        <w:rPr>
          <w:lang w:val="es-CR"/>
        </w:rPr>
        <w:t xml:space="preserve"> persona</w:t>
      </w:r>
      <w:r>
        <w:rPr>
          <w:lang w:val="es-CR"/>
        </w:rPr>
        <w:t>s en condición de vulnerabilidad</w:t>
      </w:r>
      <w:r w:rsidR="00692591">
        <w:rPr>
          <w:lang w:val="es-CR"/>
        </w:rPr>
        <w:t xml:space="preserve"> durante todas las fases de la migración, en el origen, tránsito, destino y retorno.</w:t>
      </w:r>
    </w:p>
    <w:p w:rsidR="00692591" w:rsidRDefault="000C0112" w:rsidP="00260973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>L</w:t>
      </w:r>
      <w:r w:rsidR="00692591">
        <w:rPr>
          <w:lang w:val="es-CR"/>
        </w:rPr>
        <w:t>ucha contra la xenofobia como uno de los puntos a reforzar en el Pacto, así como la transversalización, para que una política de movilidad humana se lleve a cabo a nivel nacional y local.</w:t>
      </w:r>
    </w:p>
    <w:p w:rsidR="00692591" w:rsidRDefault="00692591" w:rsidP="00260973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>No reducir a la población migrante en función de los temas de mano de obra.</w:t>
      </w:r>
    </w:p>
    <w:p w:rsidR="00692591" w:rsidRPr="008E3DE8" w:rsidRDefault="00692591" w:rsidP="00260973">
      <w:pPr>
        <w:pStyle w:val="Prrafodelista"/>
        <w:numPr>
          <w:ilvl w:val="0"/>
          <w:numId w:val="1"/>
        </w:numPr>
        <w:jc w:val="both"/>
        <w:rPr>
          <w:lang w:val="es-CR"/>
        </w:rPr>
      </w:pPr>
      <w:r w:rsidRPr="006D1B16">
        <w:rPr>
          <w:lang w:val="es-CR"/>
        </w:rPr>
        <w:t>Importancia de precisar</w:t>
      </w:r>
      <w:r w:rsidR="007A5750" w:rsidRPr="006D1B16">
        <w:rPr>
          <w:lang w:val="es-CR"/>
        </w:rPr>
        <w:t>,</w:t>
      </w:r>
      <w:r w:rsidR="007A5750">
        <w:rPr>
          <w:lang w:val="es-CR"/>
        </w:rPr>
        <w:t xml:space="preserve"> en algunos casos,</w:t>
      </w:r>
      <w:r w:rsidRPr="006D1B16">
        <w:rPr>
          <w:lang w:val="es-CR"/>
        </w:rPr>
        <w:t xml:space="preserve"> conceptos en el Pacto</w:t>
      </w:r>
      <w:r w:rsidR="007A5750">
        <w:rPr>
          <w:lang w:val="es-CR"/>
        </w:rPr>
        <w:t>,</w:t>
      </w:r>
      <w:r w:rsidRPr="006D1B16">
        <w:rPr>
          <w:lang w:val="es-CR"/>
        </w:rPr>
        <w:t xml:space="preserve"> como </w:t>
      </w:r>
      <w:r w:rsidR="007A5750">
        <w:rPr>
          <w:lang w:val="es-CR"/>
        </w:rPr>
        <w:t xml:space="preserve">el de </w:t>
      </w:r>
      <w:r w:rsidRPr="006D1B16">
        <w:rPr>
          <w:lang w:val="es-CR"/>
        </w:rPr>
        <w:t>la migraci</w:t>
      </w:r>
      <w:r>
        <w:rPr>
          <w:lang w:val="es-CR"/>
        </w:rPr>
        <w:t>ón regular y migración irregular, diferenc</w:t>
      </w:r>
      <w:r w:rsidR="008E3DE8">
        <w:rPr>
          <w:lang w:val="es-CR"/>
        </w:rPr>
        <w:t xml:space="preserve">ias entre migrante y refugiado. </w:t>
      </w:r>
      <w:r w:rsidRPr="008E3DE8">
        <w:rPr>
          <w:lang w:val="es-CR"/>
        </w:rPr>
        <w:t xml:space="preserve">Es necesario </w:t>
      </w:r>
      <w:r w:rsidR="007A5750" w:rsidRPr="008E3DE8">
        <w:rPr>
          <w:lang w:val="es-CR"/>
        </w:rPr>
        <w:t>enfatizar</w:t>
      </w:r>
      <w:r w:rsidRPr="008E3DE8">
        <w:rPr>
          <w:lang w:val="es-CR"/>
        </w:rPr>
        <w:t xml:space="preserve"> sobre </w:t>
      </w:r>
      <w:r w:rsidR="007A5750" w:rsidRPr="008E3DE8">
        <w:rPr>
          <w:lang w:val="es-CR"/>
        </w:rPr>
        <w:t xml:space="preserve">la </w:t>
      </w:r>
      <w:r w:rsidR="007A5750" w:rsidRPr="008E3DE8">
        <w:rPr>
          <w:lang w:val="es-CR"/>
        </w:rPr>
        <w:lastRenderedPageBreak/>
        <w:t xml:space="preserve">importancia de </w:t>
      </w:r>
      <w:r w:rsidRPr="008E3DE8">
        <w:rPr>
          <w:lang w:val="es-CR"/>
        </w:rPr>
        <w:t xml:space="preserve">los canales de regularización </w:t>
      </w:r>
      <w:r w:rsidR="008E3DE8" w:rsidRPr="008E3DE8">
        <w:rPr>
          <w:lang w:val="es-CR"/>
        </w:rPr>
        <w:t>“</w:t>
      </w:r>
      <w:r w:rsidRPr="008E3DE8">
        <w:rPr>
          <w:lang w:val="es-CR"/>
        </w:rPr>
        <w:t>para no dejar a nadie atrás</w:t>
      </w:r>
      <w:r w:rsidR="008E79F1" w:rsidRPr="008E3DE8">
        <w:rPr>
          <w:lang w:val="es-CR"/>
        </w:rPr>
        <w:t xml:space="preserve">”, en el espíritu de la </w:t>
      </w:r>
      <w:r w:rsidR="008E3DE8" w:rsidRPr="008E3DE8">
        <w:rPr>
          <w:lang w:val="es-CR"/>
        </w:rPr>
        <w:t>A</w:t>
      </w:r>
      <w:r w:rsidR="008E79F1" w:rsidRPr="008E3DE8">
        <w:rPr>
          <w:lang w:val="es-CR"/>
        </w:rPr>
        <w:t>genda 2030</w:t>
      </w:r>
      <w:r w:rsidRPr="008E3DE8">
        <w:rPr>
          <w:lang w:val="es-CR"/>
        </w:rPr>
        <w:t>.</w:t>
      </w:r>
    </w:p>
    <w:p w:rsidR="00692591" w:rsidRDefault="00692591" w:rsidP="00260973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 xml:space="preserve">Resaltar las experiencias que pueden enriquecer el cómo implementar el Pacto, destacando el rol de la sociedad civil, </w:t>
      </w:r>
      <w:r w:rsidR="00130F0E">
        <w:rPr>
          <w:lang w:val="es-CR"/>
        </w:rPr>
        <w:t xml:space="preserve">movimientos sociales, </w:t>
      </w:r>
      <w:r>
        <w:rPr>
          <w:lang w:val="es-CR"/>
        </w:rPr>
        <w:t>el sector privado y las organizaciones de las diásporas.</w:t>
      </w:r>
    </w:p>
    <w:p w:rsidR="00692591" w:rsidRDefault="00B91C23" w:rsidP="00260973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 xml:space="preserve">Reconocer </w:t>
      </w:r>
      <w:r w:rsidR="00692591">
        <w:rPr>
          <w:lang w:val="es-CR"/>
        </w:rPr>
        <w:t>el esfuerzo que ha encaminado el grupo de pensamiento afín.</w:t>
      </w:r>
    </w:p>
    <w:p w:rsidR="00692591" w:rsidRDefault="00EB75BF" w:rsidP="00260973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>La</w:t>
      </w:r>
      <w:r w:rsidR="00B55293">
        <w:rPr>
          <w:lang w:val="es-CR"/>
        </w:rPr>
        <w:t xml:space="preserve"> responsabilidad de los Estados</w:t>
      </w:r>
      <w:r w:rsidR="00B91C23">
        <w:rPr>
          <w:lang w:val="es-CR"/>
        </w:rPr>
        <w:t xml:space="preserve"> </w:t>
      </w:r>
      <w:r w:rsidR="00B55293">
        <w:rPr>
          <w:lang w:val="es-CR"/>
        </w:rPr>
        <w:t xml:space="preserve">en su rol de implementación del Pacto y </w:t>
      </w:r>
      <w:r w:rsidR="00B91C23">
        <w:rPr>
          <w:lang w:val="es-CR"/>
        </w:rPr>
        <w:t xml:space="preserve">el </w:t>
      </w:r>
      <w:r w:rsidR="00692591">
        <w:rPr>
          <w:lang w:val="es-CR"/>
        </w:rPr>
        <w:t xml:space="preserve">trabajo técnico y </w:t>
      </w:r>
      <w:r w:rsidR="00B91C23">
        <w:rPr>
          <w:lang w:val="es-CR"/>
        </w:rPr>
        <w:t xml:space="preserve">la </w:t>
      </w:r>
      <w:r w:rsidR="00692591">
        <w:rPr>
          <w:lang w:val="es-CR"/>
        </w:rPr>
        <w:t>col</w:t>
      </w:r>
      <w:r w:rsidR="00B91C23">
        <w:rPr>
          <w:lang w:val="es-CR"/>
        </w:rPr>
        <w:t>aboración de la OIM, así como su</w:t>
      </w:r>
      <w:r w:rsidR="00692591">
        <w:rPr>
          <w:lang w:val="es-CR"/>
        </w:rPr>
        <w:t xml:space="preserve"> rol en la implementación del Pacto.</w:t>
      </w:r>
    </w:p>
    <w:p w:rsidR="00692591" w:rsidRPr="00692591" w:rsidRDefault="00692591" w:rsidP="00260973">
      <w:pPr>
        <w:pStyle w:val="Prrafodelista"/>
        <w:numPr>
          <w:ilvl w:val="1"/>
          <w:numId w:val="1"/>
        </w:numPr>
        <w:jc w:val="both"/>
        <w:rPr>
          <w:lang w:val="es-CR"/>
        </w:rPr>
      </w:pPr>
      <w:r w:rsidRPr="00692591">
        <w:rPr>
          <w:lang w:val="es-CR"/>
        </w:rPr>
        <w:t xml:space="preserve">Reconocer la </w:t>
      </w:r>
      <w:r w:rsidR="00461D10">
        <w:rPr>
          <w:lang w:val="es-CR"/>
        </w:rPr>
        <w:t>necesidad</w:t>
      </w:r>
      <w:r w:rsidRPr="00692591">
        <w:rPr>
          <w:lang w:val="es-CR"/>
        </w:rPr>
        <w:t xml:space="preserve"> de </w:t>
      </w:r>
      <w:r w:rsidR="00461D10" w:rsidRPr="00692591">
        <w:rPr>
          <w:lang w:val="es-CR"/>
        </w:rPr>
        <w:t xml:space="preserve">coordinación </w:t>
      </w:r>
      <w:r w:rsidR="00461D10">
        <w:rPr>
          <w:lang w:val="es-CR"/>
        </w:rPr>
        <w:t>de</w:t>
      </w:r>
      <w:r w:rsidR="00461D10" w:rsidRPr="00692591">
        <w:rPr>
          <w:lang w:val="es-CR"/>
        </w:rPr>
        <w:t xml:space="preserve"> </w:t>
      </w:r>
      <w:r w:rsidR="00461D10">
        <w:rPr>
          <w:lang w:val="es-CR"/>
        </w:rPr>
        <w:t xml:space="preserve">todas las </w:t>
      </w:r>
      <w:r w:rsidR="00461D10" w:rsidRPr="00692591">
        <w:rPr>
          <w:lang w:val="es-CR"/>
        </w:rPr>
        <w:t xml:space="preserve">agencias </w:t>
      </w:r>
      <w:r w:rsidR="00461D10">
        <w:rPr>
          <w:lang w:val="es-CR"/>
        </w:rPr>
        <w:t xml:space="preserve">en el ámbito </w:t>
      </w:r>
      <w:r w:rsidR="00461D10" w:rsidRPr="00692591">
        <w:rPr>
          <w:lang w:val="es-CR"/>
        </w:rPr>
        <w:t>de Naciones Unidas</w:t>
      </w:r>
      <w:r w:rsidRPr="00692591">
        <w:rPr>
          <w:lang w:val="es-CR"/>
        </w:rPr>
        <w:t xml:space="preserve">, </w:t>
      </w:r>
      <w:r w:rsidR="00461D10">
        <w:rPr>
          <w:lang w:val="es-CR"/>
        </w:rPr>
        <w:t xml:space="preserve">incluyendo a </w:t>
      </w:r>
      <w:r w:rsidRPr="00692591">
        <w:rPr>
          <w:lang w:val="es-CR"/>
        </w:rPr>
        <w:t>la OIM</w:t>
      </w:r>
      <w:r w:rsidR="00461D10">
        <w:rPr>
          <w:lang w:val="es-CR"/>
        </w:rPr>
        <w:t xml:space="preserve">, para generar sinergias y una mejor </w:t>
      </w:r>
      <w:r w:rsidRPr="00692591">
        <w:rPr>
          <w:lang w:val="es-CR"/>
        </w:rPr>
        <w:t>implementación del Pacto.</w:t>
      </w:r>
    </w:p>
    <w:p w:rsidR="00692591" w:rsidRDefault="00EB75BF" w:rsidP="00260973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>E</w:t>
      </w:r>
      <w:r w:rsidR="00692591">
        <w:rPr>
          <w:lang w:val="es-CR"/>
        </w:rPr>
        <w:t>jemplos de buenas prácticas derivadas de los elementos contenidos en la Declaración de Nueva York.</w:t>
      </w:r>
    </w:p>
    <w:p w:rsidR="00692591" w:rsidRPr="00E929D0" w:rsidRDefault="00692591" w:rsidP="00260973">
      <w:pPr>
        <w:pStyle w:val="Prrafodelista"/>
        <w:numPr>
          <w:ilvl w:val="0"/>
          <w:numId w:val="1"/>
        </w:numPr>
        <w:jc w:val="both"/>
        <w:rPr>
          <w:lang w:val="es-CR"/>
        </w:rPr>
      </w:pPr>
      <w:r w:rsidRPr="00E929D0">
        <w:rPr>
          <w:lang w:val="es-CR"/>
        </w:rPr>
        <w:t xml:space="preserve">Se reconoció la importancia de </w:t>
      </w:r>
      <w:r w:rsidR="00796791">
        <w:rPr>
          <w:lang w:val="es-CR"/>
        </w:rPr>
        <w:t>la</w:t>
      </w:r>
      <w:r w:rsidRPr="00E929D0">
        <w:rPr>
          <w:lang w:val="es-CR"/>
        </w:rPr>
        <w:t xml:space="preserve"> complementariedad entre el Pacto de Migraciones y el Pacto de Refugiados.</w:t>
      </w:r>
    </w:p>
    <w:p w:rsidR="00A06090" w:rsidRDefault="00A06090" w:rsidP="00260973">
      <w:pPr>
        <w:jc w:val="both"/>
        <w:rPr>
          <w:lang w:val="es-CR"/>
        </w:rPr>
      </w:pPr>
    </w:p>
    <w:p w:rsidR="00692591" w:rsidRPr="00992068" w:rsidRDefault="00692591" w:rsidP="00260973">
      <w:pPr>
        <w:jc w:val="both"/>
        <w:rPr>
          <w:b/>
          <w:lang w:val="es-CR"/>
        </w:rPr>
      </w:pPr>
      <w:r w:rsidRPr="00992068">
        <w:rPr>
          <w:b/>
          <w:lang w:val="es-CR"/>
        </w:rPr>
        <w:t>Bloque 2: Espacios de encuentro entre la CRM y la CSM</w:t>
      </w:r>
    </w:p>
    <w:p w:rsidR="00692591" w:rsidRDefault="00692591" w:rsidP="00260973">
      <w:pPr>
        <w:jc w:val="both"/>
        <w:rPr>
          <w:lang w:val="es-CR"/>
        </w:rPr>
      </w:pPr>
      <w:r>
        <w:rPr>
          <w:lang w:val="es-CR"/>
        </w:rPr>
        <w:t>Para el diálogo del compromiso futuro entre la CRM y la CSM</w:t>
      </w:r>
      <w:r w:rsidR="008D0638">
        <w:rPr>
          <w:lang w:val="es-CR"/>
        </w:rPr>
        <w:t xml:space="preserve">, los </w:t>
      </w:r>
      <w:r>
        <w:rPr>
          <w:lang w:val="es-CR"/>
        </w:rPr>
        <w:t>Países Miembros identificaron</w:t>
      </w:r>
      <w:r w:rsidR="001E7A06">
        <w:rPr>
          <w:lang w:val="es-CR"/>
        </w:rPr>
        <w:t xml:space="preserve"> algunos</w:t>
      </w:r>
      <w:r>
        <w:rPr>
          <w:lang w:val="es-CR"/>
        </w:rPr>
        <w:t xml:space="preserve"> temas en común para ser abordados entre ambas conferencias</w:t>
      </w:r>
      <w:r w:rsidR="008D0638">
        <w:rPr>
          <w:lang w:val="es-CR"/>
        </w:rPr>
        <w:t>, entre los cuales destacan los siguientes</w:t>
      </w:r>
      <w:r>
        <w:rPr>
          <w:lang w:val="es-CR"/>
        </w:rPr>
        <w:t>:</w:t>
      </w:r>
    </w:p>
    <w:p w:rsidR="00692591" w:rsidRPr="00AB4EB0" w:rsidRDefault="001E7A06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>
        <w:rPr>
          <w:lang w:val="es-CR"/>
        </w:rPr>
        <w:t>Pacto Mundial</w:t>
      </w:r>
      <w:r w:rsidR="008D0638">
        <w:rPr>
          <w:lang w:val="es-CR"/>
        </w:rPr>
        <w:t xml:space="preserve"> para una migración segura, ordenada y regular</w:t>
      </w:r>
    </w:p>
    <w:p w:rsidR="00692591" w:rsidRPr="00AB4EB0" w:rsidRDefault="00692591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 w:rsidRPr="00AB4EB0">
        <w:rPr>
          <w:lang w:val="es-CR"/>
        </w:rPr>
        <w:t xml:space="preserve">Migración </w:t>
      </w:r>
      <w:r w:rsidR="008D0638">
        <w:rPr>
          <w:lang w:val="es-CR"/>
        </w:rPr>
        <w:t xml:space="preserve">intra-regional, </w:t>
      </w:r>
      <w:r w:rsidRPr="00AB4EB0">
        <w:rPr>
          <w:lang w:val="es-CR"/>
        </w:rPr>
        <w:t>extra-regional</w:t>
      </w:r>
      <w:r w:rsidR="008B2629">
        <w:rPr>
          <w:lang w:val="es-CR"/>
        </w:rPr>
        <w:t xml:space="preserve"> y</w:t>
      </w:r>
      <w:r w:rsidR="001E7A06">
        <w:rPr>
          <w:lang w:val="es-CR"/>
        </w:rPr>
        <w:t xml:space="preserve"> extra-continental</w:t>
      </w:r>
    </w:p>
    <w:p w:rsidR="00692591" w:rsidRDefault="00692591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 w:rsidRPr="00AB4EB0">
        <w:rPr>
          <w:lang w:val="es-CR"/>
        </w:rPr>
        <w:t>Gobernanza de las migraciones</w:t>
      </w:r>
    </w:p>
    <w:p w:rsidR="003D4322" w:rsidRDefault="003D4322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>
        <w:rPr>
          <w:lang w:val="es-CR"/>
        </w:rPr>
        <w:t>Intercambio de buenas prácticas para el fortalecimiento de capacidades de ambos procesos</w:t>
      </w:r>
    </w:p>
    <w:p w:rsidR="00692591" w:rsidRPr="00AB4EB0" w:rsidRDefault="00692591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 w:rsidRPr="00AB4EB0">
        <w:rPr>
          <w:lang w:val="es-CR"/>
        </w:rPr>
        <w:t>Atención de la población en retorno</w:t>
      </w:r>
    </w:p>
    <w:p w:rsidR="008D0638" w:rsidRDefault="00692591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 w:rsidRPr="00AB4EB0">
        <w:rPr>
          <w:lang w:val="es-CR"/>
        </w:rPr>
        <w:t xml:space="preserve">Inserción </w:t>
      </w:r>
      <w:r w:rsidR="006E35A5">
        <w:rPr>
          <w:lang w:val="es-CR"/>
        </w:rPr>
        <w:t xml:space="preserve">e inclusión </w:t>
      </w:r>
      <w:r w:rsidR="008D0638">
        <w:rPr>
          <w:lang w:val="es-CR"/>
        </w:rPr>
        <w:t xml:space="preserve">social </w:t>
      </w:r>
      <w:r w:rsidRPr="00AB4EB0">
        <w:rPr>
          <w:lang w:val="es-CR"/>
        </w:rPr>
        <w:t xml:space="preserve">de </w:t>
      </w:r>
      <w:r w:rsidR="008B2629">
        <w:rPr>
          <w:lang w:val="es-CR"/>
        </w:rPr>
        <w:t>los migrantes</w:t>
      </w:r>
      <w:r w:rsidR="008D0638">
        <w:rPr>
          <w:lang w:val="es-CR"/>
        </w:rPr>
        <w:t xml:space="preserve"> en países de destino</w:t>
      </w:r>
    </w:p>
    <w:p w:rsidR="00692591" w:rsidRDefault="008D0638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>
        <w:rPr>
          <w:lang w:val="es-CR"/>
        </w:rPr>
        <w:t>A</w:t>
      </w:r>
      <w:r w:rsidR="00692591" w:rsidRPr="00AB4EB0">
        <w:rPr>
          <w:lang w:val="es-CR"/>
        </w:rPr>
        <w:t>tención de la población migrante en países de tránsito.</w:t>
      </w:r>
    </w:p>
    <w:p w:rsidR="00692591" w:rsidRPr="00AB4EB0" w:rsidRDefault="00692591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 w:rsidRPr="00AB4EB0">
        <w:rPr>
          <w:lang w:val="es-CR"/>
        </w:rPr>
        <w:t>Experiencias de la atención consular de nacionales en países de destino</w:t>
      </w:r>
    </w:p>
    <w:p w:rsidR="00692591" w:rsidRPr="00AB4EB0" w:rsidRDefault="00692591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 w:rsidRPr="00AB4EB0">
        <w:rPr>
          <w:lang w:val="es-CR"/>
        </w:rPr>
        <w:t>Mecanismos de prote</w:t>
      </w:r>
      <w:r w:rsidR="001E7A06">
        <w:rPr>
          <w:lang w:val="es-CR"/>
        </w:rPr>
        <w:t>cción en cada uno de los países</w:t>
      </w:r>
    </w:p>
    <w:p w:rsidR="00692591" w:rsidRDefault="00692591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 w:rsidRPr="00692591">
        <w:rPr>
          <w:lang w:val="es-CR"/>
        </w:rPr>
        <w:t>La observancia permanente de los diferentes fl</w:t>
      </w:r>
      <w:r>
        <w:rPr>
          <w:lang w:val="es-CR"/>
        </w:rPr>
        <w:t>ujos migratorios</w:t>
      </w:r>
    </w:p>
    <w:p w:rsidR="00692591" w:rsidRDefault="00AB4EB0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>
        <w:rPr>
          <w:lang w:val="es-CR"/>
        </w:rPr>
        <w:t>M</w:t>
      </w:r>
      <w:r w:rsidR="00692591" w:rsidRPr="00692591">
        <w:rPr>
          <w:lang w:val="es-CR"/>
        </w:rPr>
        <w:t xml:space="preserve">igración en </w:t>
      </w:r>
      <w:r w:rsidR="005279F3">
        <w:rPr>
          <w:lang w:val="es-CR"/>
        </w:rPr>
        <w:t xml:space="preserve">países de </w:t>
      </w:r>
      <w:r w:rsidR="00692591" w:rsidRPr="00692591">
        <w:rPr>
          <w:lang w:val="es-CR"/>
        </w:rPr>
        <w:t>tránsito</w:t>
      </w:r>
    </w:p>
    <w:p w:rsidR="00692591" w:rsidRDefault="00AB4EB0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>
        <w:rPr>
          <w:lang w:val="es-CR"/>
        </w:rPr>
        <w:t>R</w:t>
      </w:r>
      <w:r w:rsidR="00692591">
        <w:rPr>
          <w:lang w:val="es-CR"/>
        </w:rPr>
        <w:t>efugio</w:t>
      </w:r>
    </w:p>
    <w:p w:rsidR="005279F3" w:rsidRDefault="006E35A5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>
        <w:rPr>
          <w:lang w:val="es-CR"/>
        </w:rPr>
        <w:t>T</w:t>
      </w:r>
      <w:r w:rsidR="005279F3">
        <w:rPr>
          <w:lang w:val="es-CR"/>
        </w:rPr>
        <w:t>rata de personas y atención integral a la víctimas sobrevivientes de este delito</w:t>
      </w:r>
    </w:p>
    <w:p w:rsidR="00692591" w:rsidRDefault="005279F3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>
        <w:rPr>
          <w:lang w:val="es-CR"/>
        </w:rPr>
        <w:t>T</w:t>
      </w:r>
      <w:r w:rsidR="00692591">
        <w:rPr>
          <w:lang w:val="es-CR"/>
        </w:rPr>
        <w:t>ráfico ilícito de migrantes</w:t>
      </w:r>
      <w:r>
        <w:rPr>
          <w:lang w:val="es-CR"/>
        </w:rPr>
        <w:t xml:space="preserve"> y la atención a las personas objeto del tráfico</w:t>
      </w:r>
    </w:p>
    <w:p w:rsidR="00692591" w:rsidRDefault="00692591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>
        <w:rPr>
          <w:lang w:val="es-CR"/>
        </w:rPr>
        <w:t>Protección de niñez migrant</w:t>
      </w:r>
      <w:r w:rsidR="006E35A5">
        <w:rPr>
          <w:lang w:val="es-CR"/>
        </w:rPr>
        <w:t>e y su atención psicosocial</w:t>
      </w:r>
    </w:p>
    <w:p w:rsidR="00692591" w:rsidRDefault="00692591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>
        <w:rPr>
          <w:lang w:val="es-CR"/>
        </w:rPr>
        <w:t>Reunificación familiar</w:t>
      </w:r>
    </w:p>
    <w:p w:rsidR="00692591" w:rsidRDefault="00AB4EB0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>
        <w:rPr>
          <w:lang w:val="es-CR"/>
        </w:rPr>
        <w:t>Regularización migratoria</w:t>
      </w:r>
    </w:p>
    <w:p w:rsidR="00AB4EB0" w:rsidRPr="00AB4EB0" w:rsidRDefault="00AB4EB0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 w:rsidRPr="00AB4EB0">
        <w:rPr>
          <w:lang w:val="es-CR"/>
        </w:rPr>
        <w:t>Documentos fraudulentos e intercambio de experiencias</w:t>
      </w:r>
    </w:p>
    <w:p w:rsidR="003D2A47" w:rsidRDefault="003D2A47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>
        <w:rPr>
          <w:lang w:val="es-CR"/>
        </w:rPr>
        <w:t>Impactos globales futuros y su impacto en la migración</w:t>
      </w:r>
    </w:p>
    <w:p w:rsidR="003D2A47" w:rsidRDefault="003D2A47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>
        <w:rPr>
          <w:lang w:val="es-CR"/>
        </w:rPr>
        <w:t>Requisitos de visa de ingreso</w:t>
      </w:r>
    </w:p>
    <w:p w:rsidR="00AB4EB0" w:rsidRPr="003D2A47" w:rsidRDefault="00AB4EB0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 w:rsidRPr="003D2A47">
        <w:rPr>
          <w:lang w:val="es-CR"/>
        </w:rPr>
        <w:t>Cambio climático y su impacto en la migración</w:t>
      </w:r>
    </w:p>
    <w:p w:rsidR="00AB4EB0" w:rsidRPr="00AB4EB0" w:rsidRDefault="00AB4EB0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 w:rsidRPr="00AB4EB0">
        <w:rPr>
          <w:lang w:val="es-CR"/>
        </w:rPr>
        <w:t>Retos en la repatriación Sur-Sur, especial</w:t>
      </w:r>
      <w:r w:rsidR="003D2A47">
        <w:rPr>
          <w:lang w:val="es-CR"/>
        </w:rPr>
        <w:t>mente en menores no acompañados</w:t>
      </w:r>
    </w:p>
    <w:p w:rsidR="00AB4EB0" w:rsidRPr="00AB4EB0" w:rsidRDefault="00AB4EB0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 w:rsidRPr="00AB4EB0">
        <w:rPr>
          <w:lang w:val="es-CR"/>
        </w:rPr>
        <w:lastRenderedPageBreak/>
        <w:t>Atención de niño</w:t>
      </w:r>
      <w:r w:rsidR="003D2A47">
        <w:rPr>
          <w:lang w:val="es-CR"/>
        </w:rPr>
        <w:t>s en el proceso de repatriación</w:t>
      </w:r>
    </w:p>
    <w:p w:rsidR="00AB4EB0" w:rsidRPr="00AB4EB0" w:rsidRDefault="00AB4EB0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 w:rsidRPr="00AB4EB0">
        <w:rPr>
          <w:lang w:val="es-CR"/>
        </w:rPr>
        <w:t>Establecimiento de puntos de contacto en el proceso de repatriación Sur-Sur</w:t>
      </w:r>
    </w:p>
    <w:p w:rsidR="00AB4EB0" w:rsidRDefault="00AB4EB0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>
        <w:rPr>
          <w:lang w:val="es-CR"/>
        </w:rPr>
        <w:t>Gobernanza de las migraciones</w:t>
      </w:r>
    </w:p>
    <w:p w:rsidR="006E75CB" w:rsidRDefault="006E75CB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 w:rsidRPr="006E75CB">
        <w:rPr>
          <w:lang w:val="es-CR"/>
        </w:rPr>
        <w:t>Cooperación internacional para la gobe</w:t>
      </w:r>
      <w:r w:rsidR="008D0638">
        <w:rPr>
          <w:lang w:val="es-CR"/>
        </w:rPr>
        <w:t>rnabilidad migratoria</w:t>
      </w:r>
    </w:p>
    <w:p w:rsidR="006E75CB" w:rsidRPr="006E75CB" w:rsidRDefault="006E75CB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>
        <w:rPr>
          <w:lang w:val="es-CR"/>
        </w:rPr>
        <w:t>Marcos legales e instit</w:t>
      </w:r>
      <w:r w:rsidR="003D2A47">
        <w:rPr>
          <w:lang w:val="es-CR"/>
        </w:rPr>
        <w:t>ucionales en materia migratoria</w:t>
      </w:r>
    </w:p>
    <w:p w:rsidR="00EF2184" w:rsidRDefault="00822F2A" w:rsidP="00260973">
      <w:pPr>
        <w:pStyle w:val="Prrafodelista"/>
        <w:numPr>
          <w:ilvl w:val="0"/>
          <w:numId w:val="2"/>
        </w:numPr>
        <w:jc w:val="both"/>
        <w:rPr>
          <w:lang w:val="es-CR"/>
        </w:rPr>
      </w:pPr>
      <w:r>
        <w:rPr>
          <w:lang w:val="es-CR"/>
        </w:rPr>
        <w:t>S</w:t>
      </w:r>
      <w:r w:rsidR="00EF2184">
        <w:rPr>
          <w:lang w:val="es-CR"/>
        </w:rPr>
        <w:t>ituaciones migratorias coyunturales</w:t>
      </w:r>
    </w:p>
    <w:p w:rsidR="00B94B3F" w:rsidRDefault="00B94B3F" w:rsidP="00260973">
      <w:pPr>
        <w:jc w:val="both"/>
        <w:rPr>
          <w:b/>
          <w:lang w:val="es-CR"/>
        </w:rPr>
      </w:pPr>
      <w:r>
        <w:rPr>
          <w:b/>
          <w:lang w:val="es-CR"/>
        </w:rPr>
        <w:t>Acciones próximas:</w:t>
      </w:r>
    </w:p>
    <w:p w:rsidR="00692591" w:rsidRDefault="00AB4EB0" w:rsidP="00260973">
      <w:pPr>
        <w:jc w:val="both"/>
        <w:rPr>
          <w:lang w:val="es-CR"/>
        </w:rPr>
      </w:pPr>
      <w:r>
        <w:rPr>
          <w:lang w:val="es-CR"/>
        </w:rPr>
        <w:t xml:space="preserve">Reunión de las Presidencias </w:t>
      </w:r>
      <w:r w:rsidR="00B55AF2">
        <w:rPr>
          <w:lang w:val="es-CR"/>
        </w:rPr>
        <w:t xml:space="preserve">Pro-Témpore </w:t>
      </w:r>
      <w:r>
        <w:rPr>
          <w:lang w:val="es-CR"/>
        </w:rPr>
        <w:t>con las Secretarías Técnicas para la e</w:t>
      </w:r>
      <w:r w:rsidR="00692591">
        <w:rPr>
          <w:lang w:val="es-CR"/>
        </w:rPr>
        <w:t xml:space="preserve">laboración de </w:t>
      </w:r>
      <w:r w:rsidR="006E75CB">
        <w:rPr>
          <w:lang w:val="es-CR"/>
        </w:rPr>
        <w:t xml:space="preserve">una </w:t>
      </w:r>
      <w:r w:rsidR="00692591">
        <w:rPr>
          <w:lang w:val="es-CR"/>
        </w:rPr>
        <w:t xml:space="preserve">nota conceptual </w:t>
      </w:r>
      <w:r>
        <w:rPr>
          <w:lang w:val="es-CR"/>
        </w:rPr>
        <w:t>de los temas en común a nivel de troika. Una vez definida desde la troika, se</w:t>
      </w:r>
      <w:r w:rsidR="006E75CB">
        <w:rPr>
          <w:lang w:val="es-CR"/>
        </w:rPr>
        <w:t xml:space="preserve"> compartirá con los Países Miembros de ambas conferencias</w:t>
      </w:r>
      <w:r>
        <w:rPr>
          <w:lang w:val="es-CR"/>
        </w:rPr>
        <w:t>.</w:t>
      </w:r>
    </w:p>
    <w:p w:rsidR="00B55AF2" w:rsidRDefault="00B55AF2" w:rsidP="00260973">
      <w:pPr>
        <w:jc w:val="both"/>
        <w:rPr>
          <w:lang w:val="es-CR"/>
        </w:rPr>
      </w:pPr>
      <w:r>
        <w:rPr>
          <w:lang w:val="es-CR"/>
        </w:rPr>
        <w:t xml:space="preserve">Las Presidencias Pro-Témpore de ambas conferencias </w:t>
      </w:r>
      <w:r w:rsidR="001E6F3C">
        <w:rPr>
          <w:lang w:val="es-CR"/>
        </w:rPr>
        <w:t>someterán a consideración de</w:t>
      </w:r>
      <w:r>
        <w:rPr>
          <w:lang w:val="es-CR"/>
        </w:rPr>
        <w:t xml:space="preserve"> los respectivos países las propuestas de relacionamiento que se tendrán en ambos procesos consultivos (videoconferencias de Troika, reuniones presenciales de </w:t>
      </w:r>
      <w:proofErr w:type="spellStart"/>
      <w:r>
        <w:rPr>
          <w:lang w:val="es-CR"/>
        </w:rPr>
        <w:t>Troikas</w:t>
      </w:r>
      <w:proofErr w:type="spellEnd"/>
      <w:r>
        <w:rPr>
          <w:lang w:val="es-CR"/>
        </w:rPr>
        <w:t>, reuniones plenarias)</w:t>
      </w:r>
      <w:r w:rsidR="00242856">
        <w:rPr>
          <w:lang w:val="es-CR"/>
        </w:rPr>
        <w:t>.</w:t>
      </w:r>
    </w:p>
    <w:p w:rsidR="00242856" w:rsidRDefault="00075329" w:rsidP="00260973">
      <w:pPr>
        <w:jc w:val="both"/>
        <w:rPr>
          <w:lang w:val="es-CR"/>
        </w:rPr>
      </w:pPr>
      <w:r>
        <w:rPr>
          <w:lang w:val="es-CR"/>
        </w:rPr>
        <w:t>Trabajar en coordinación con las delegaciones en</w:t>
      </w:r>
      <w:r w:rsidR="006E75CB">
        <w:rPr>
          <w:lang w:val="es-CR"/>
        </w:rPr>
        <w:t xml:space="preserve"> </w:t>
      </w:r>
      <w:r>
        <w:rPr>
          <w:lang w:val="es-CR"/>
        </w:rPr>
        <w:t xml:space="preserve">Nueva York,  las </w:t>
      </w:r>
      <w:r w:rsidR="006E75CB">
        <w:rPr>
          <w:lang w:val="es-CR"/>
        </w:rPr>
        <w:t>Cancillerías</w:t>
      </w:r>
      <w:r>
        <w:rPr>
          <w:lang w:val="es-CR"/>
        </w:rPr>
        <w:t xml:space="preserve"> y</w:t>
      </w:r>
      <w:r w:rsidR="006E75CB">
        <w:rPr>
          <w:lang w:val="es-CR"/>
        </w:rPr>
        <w:t xml:space="preserve"> los responsables de las negociaciones del Pacto Mundial</w:t>
      </w:r>
      <w:r w:rsidR="00EF2184">
        <w:rPr>
          <w:lang w:val="es-CR"/>
        </w:rPr>
        <w:t xml:space="preserve"> para una migración segura, ordenada y regular</w:t>
      </w:r>
      <w:r w:rsidR="00242856">
        <w:rPr>
          <w:lang w:val="es-CR"/>
        </w:rPr>
        <w:t>, para una mejor articulación en el proceso de</w:t>
      </w:r>
      <w:r w:rsidR="00466E85">
        <w:rPr>
          <w:lang w:val="es-CR"/>
        </w:rPr>
        <w:t xml:space="preserve"> negociación intergubernamental.</w:t>
      </w:r>
    </w:p>
    <w:p w:rsidR="00B94B3F" w:rsidRDefault="00B94B3F" w:rsidP="00260973">
      <w:pPr>
        <w:jc w:val="both"/>
        <w:rPr>
          <w:b/>
          <w:lang w:val="es-CR"/>
        </w:rPr>
      </w:pPr>
    </w:p>
    <w:p w:rsidR="006B149A" w:rsidRDefault="006B149A" w:rsidP="00260973">
      <w:pPr>
        <w:jc w:val="both"/>
        <w:rPr>
          <w:b/>
          <w:lang w:val="es-CR"/>
        </w:rPr>
      </w:pPr>
      <w:r w:rsidRPr="006B149A">
        <w:rPr>
          <w:b/>
          <w:lang w:val="es-CR"/>
        </w:rPr>
        <w:t>DÍA 2:</w:t>
      </w:r>
      <w:r>
        <w:rPr>
          <w:b/>
          <w:lang w:val="es-CR"/>
        </w:rPr>
        <w:t xml:space="preserve"> </w:t>
      </w:r>
      <w:r w:rsidRPr="006B149A">
        <w:rPr>
          <w:b/>
          <w:lang w:val="es-CR"/>
        </w:rPr>
        <w:t>Elementos para una nota conceptual para el abordaje de los flujos extra-regionales y extra-continentales</w:t>
      </w:r>
    </w:p>
    <w:p w:rsidR="00B94B3F" w:rsidRPr="006B149A" w:rsidRDefault="00B94B3F" w:rsidP="00260973">
      <w:pPr>
        <w:jc w:val="both"/>
        <w:rPr>
          <w:b/>
          <w:lang w:val="es-CR"/>
        </w:rPr>
      </w:pPr>
      <w:r>
        <w:rPr>
          <w:lang w:val="es-CR"/>
        </w:rPr>
        <w:t>Reunión de las Presidencias Pro-Témpore con las Secretarías Técnicas para la elaboración de una nota conceptual para el tema de los flujos extra-regionales y extra-continentales en los siguientes temas: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543CA8" w:rsidTr="00B94B3F">
        <w:tc>
          <w:tcPr>
            <w:tcW w:w="1705" w:type="dxa"/>
            <w:shd w:val="clear" w:color="auto" w:fill="DEEAF6" w:themeFill="accent1" w:themeFillTint="33"/>
          </w:tcPr>
          <w:p w:rsidR="00543CA8" w:rsidRDefault="006B149A" w:rsidP="006B149A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1</w:t>
            </w:r>
          </w:p>
        </w:tc>
        <w:tc>
          <w:tcPr>
            <w:tcW w:w="7645" w:type="dxa"/>
          </w:tcPr>
          <w:p w:rsidR="00543CA8" w:rsidRDefault="006B149A" w:rsidP="00543CA8">
            <w:pPr>
              <w:rPr>
                <w:lang w:val="es-CR"/>
              </w:rPr>
            </w:pPr>
            <w:r>
              <w:rPr>
                <w:lang w:val="es-CR"/>
              </w:rPr>
              <w:t>Estadísticas</w:t>
            </w:r>
          </w:p>
          <w:p w:rsidR="00543CA8" w:rsidRPr="00543CA8" w:rsidRDefault="00543CA8" w:rsidP="00543CA8">
            <w:pPr>
              <w:pStyle w:val="Prrafodelista"/>
              <w:numPr>
                <w:ilvl w:val="0"/>
                <w:numId w:val="3"/>
              </w:numPr>
              <w:rPr>
                <w:lang w:val="es-CR"/>
              </w:rPr>
            </w:pPr>
            <w:r w:rsidRPr="00543CA8">
              <w:rPr>
                <w:lang w:val="es-CR"/>
              </w:rPr>
              <w:t>Intercambio de datos</w:t>
            </w:r>
          </w:p>
          <w:p w:rsidR="00543CA8" w:rsidRPr="00543CA8" w:rsidRDefault="00543CA8" w:rsidP="00543CA8">
            <w:pPr>
              <w:pStyle w:val="Prrafodelista"/>
              <w:numPr>
                <w:ilvl w:val="0"/>
                <w:numId w:val="3"/>
              </w:numPr>
              <w:rPr>
                <w:lang w:val="es-CR"/>
              </w:rPr>
            </w:pPr>
            <w:r w:rsidRPr="00543CA8">
              <w:rPr>
                <w:lang w:val="es-CR"/>
              </w:rPr>
              <w:t>Análisis de información</w:t>
            </w:r>
          </w:p>
          <w:p w:rsidR="00543CA8" w:rsidRDefault="00543CA8" w:rsidP="00260973">
            <w:pPr>
              <w:jc w:val="both"/>
              <w:rPr>
                <w:lang w:val="es-CR"/>
              </w:rPr>
            </w:pPr>
          </w:p>
        </w:tc>
      </w:tr>
      <w:tr w:rsidR="00543CA8" w:rsidTr="00B94B3F">
        <w:tc>
          <w:tcPr>
            <w:tcW w:w="1705" w:type="dxa"/>
            <w:shd w:val="clear" w:color="auto" w:fill="DEEAF6" w:themeFill="accent1" w:themeFillTint="33"/>
          </w:tcPr>
          <w:p w:rsidR="00543CA8" w:rsidRDefault="006B149A" w:rsidP="006B149A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2</w:t>
            </w:r>
          </w:p>
        </w:tc>
        <w:tc>
          <w:tcPr>
            <w:tcW w:w="7645" w:type="dxa"/>
          </w:tcPr>
          <w:p w:rsidR="00543CA8" w:rsidRDefault="00543CA8" w:rsidP="00543CA8">
            <w:pPr>
              <w:rPr>
                <w:lang w:val="es-CR"/>
              </w:rPr>
            </w:pPr>
            <w:r>
              <w:rPr>
                <w:lang w:val="es-CR"/>
              </w:rPr>
              <w:t xml:space="preserve">Prevención de </w:t>
            </w:r>
            <w:r w:rsidR="00B94B3F">
              <w:rPr>
                <w:lang w:val="es-CR"/>
              </w:rPr>
              <w:t xml:space="preserve">la </w:t>
            </w:r>
            <w:r>
              <w:rPr>
                <w:lang w:val="es-CR"/>
              </w:rPr>
              <w:t>migración irregular</w:t>
            </w:r>
          </w:p>
          <w:p w:rsidR="00543CA8" w:rsidRDefault="00543CA8" w:rsidP="00B94B3F">
            <w:pPr>
              <w:rPr>
                <w:lang w:val="es-CR"/>
              </w:rPr>
            </w:pPr>
          </w:p>
        </w:tc>
      </w:tr>
      <w:tr w:rsidR="00B94B3F" w:rsidTr="00B94B3F">
        <w:tc>
          <w:tcPr>
            <w:tcW w:w="1705" w:type="dxa"/>
            <w:shd w:val="clear" w:color="auto" w:fill="DEEAF6" w:themeFill="accent1" w:themeFillTint="33"/>
          </w:tcPr>
          <w:p w:rsidR="00B94B3F" w:rsidRDefault="00B94B3F" w:rsidP="006B149A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3</w:t>
            </w:r>
          </w:p>
        </w:tc>
        <w:tc>
          <w:tcPr>
            <w:tcW w:w="7645" w:type="dxa"/>
          </w:tcPr>
          <w:p w:rsidR="00B94B3F" w:rsidRDefault="00B94B3F" w:rsidP="00543CA8">
            <w:pPr>
              <w:rPr>
                <w:lang w:val="es-CR"/>
              </w:rPr>
            </w:pPr>
            <w:r>
              <w:rPr>
                <w:lang w:val="es-CR"/>
              </w:rPr>
              <w:t>Asistencia</w:t>
            </w:r>
          </w:p>
          <w:p w:rsidR="00B94B3F" w:rsidRDefault="00B94B3F" w:rsidP="00B94B3F">
            <w:pPr>
              <w:pStyle w:val="Prrafodelista"/>
              <w:numPr>
                <w:ilvl w:val="0"/>
                <w:numId w:val="4"/>
              </w:numPr>
              <w:rPr>
                <w:lang w:val="es-CR"/>
              </w:rPr>
            </w:pPr>
            <w:r>
              <w:rPr>
                <w:lang w:val="es-CR"/>
              </w:rPr>
              <w:t>Documentación</w:t>
            </w:r>
          </w:p>
          <w:p w:rsidR="00B94B3F" w:rsidRDefault="00B94B3F" w:rsidP="00B94B3F">
            <w:pPr>
              <w:pStyle w:val="Prrafodelista"/>
              <w:numPr>
                <w:ilvl w:val="0"/>
                <w:numId w:val="4"/>
              </w:numPr>
              <w:rPr>
                <w:lang w:val="es-CR"/>
              </w:rPr>
            </w:pPr>
            <w:r>
              <w:rPr>
                <w:lang w:val="es-CR"/>
              </w:rPr>
              <w:t>Albergues</w:t>
            </w:r>
          </w:p>
          <w:p w:rsidR="00B94B3F" w:rsidRPr="00B94B3F" w:rsidRDefault="00B94B3F" w:rsidP="00B94B3F">
            <w:pPr>
              <w:rPr>
                <w:lang w:val="es-CR"/>
              </w:rPr>
            </w:pPr>
          </w:p>
        </w:tc>
      </w:tr>
      <w:tr w:rsidR="00543CA8" w:rsidRPr="001A6BCF" w:rsidTr="00B94B3F">
        <w:tc>
          <w:tcPr>
            <w:tcW w:w="1705" w:type="dxa"/>
            <w:shd w:val="clear" w:color="auto" w:fill="DEEAF6" w:themeFill="accent1" w:themeFillTint="33"/>
          </w:tcPr>
          <w:p w:rsidR="00543CA8" w:rsidRDefault="00B94B3F" w:rsidP="006B149A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4</w:t>
            </w:r>
          </w:p>
        </w:tc>
        <w:tc>
          <w:tcPr>
            <w:tcW w:w="7645" w:type="dxa"/>
          </w:tcPr>
          <w:p w:rsidR="00543CA8" w:rsidRDefault="006B149A" w:rsidP="00543CA8">
            <w:pPr>
              <w:rPr>
                <w:lang w:val="es-CR"/>
              </w:rPr>
            </w:pPr>
            <w:r>
              <w:rPr>
                <w:lang w:val="es-CR"/>
              </w:rPr>
              <w:t>G</w:t>
            </w:r>
            <w:r w:rsidR="00543CA8">
              <w:rPr>
                <w:lang w:val="es-CR"/>
              </w:rPr>
              <w:t>estión de fronteras</w:t>
            </w:r>
            <w:r w:rsidR="00B94B3F">
              <w:rPr>
                <w:lang w:val="es-CR"/>
              </w:rPr>
              <w:t xml:space="preserve"> (por ejemplo, controles biométricos</w:t>
            </w:r>
            <w:r w:rsidR="00543CA8">
              <w:rPr>
                <w:lang w:val="es-CR"/>
              </w:rPr>
              <w:t>).</w:t>
            </w:r>
          </w:p>
          <w:p w:rsidR="00543CA8" w:rsidRDefault="00543CA8" w:rsidP="00260973">
            <w:pPr>
              <w:jc w:val="both"/>
              <w:rPr>
                <w:lang w:val="es-CR"/>
              </w:rPr>
            </w:pPr>
          </w:p>
        </w:tc>
      </w:tr>
      <w:tr w:rsidR="00543CA8" w:rsidTr="00B94B3F">
        <w:tc>
          <w:tcPr>
            <w:tcW w:w="1705" w:type="dxa"/>
            <w:shd w:val="clear" w:color="auto" w:fill="DEEAF6" w:themeFill="accent1" w:themeFillTint="33"/>
          </w:tcPr>
          <w:p w:rsidR="00543CA8" w:rsidRDefault="00B94B3F" w:rsidP="006B149A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5</w:t>
            </w:r>
          </w:p>
        </w:tc>
        <w:tc>
          <w:tcPr>
            <w:tcW w:w="7645" w:type="dxa"/>
          </w:tcPr>
          <w:p w:rsidR="00543CA8" w:rsidRDefault="00543CA8" w:rsidP="00260973">
            <w:pPr>
              <w:jc w:val="both"/>
              <w:rPr>
                <w:lang w:val="es-CR"/>
              </w:rPr>
            </w:pPr>
            <w:r>
              <w:rPr>
                <w:lang w:val="es-CR"/>
              </w:rPr>
              <w:t>Integración</w:t>
            </w:r>
          </w:p>
          <w:p w:rsidR="006B149A" w:rsidRDefault="006B149A" w:rsidP="00260973">
            <w:pPr>
              <w:jc w:val="both"/>
              <w:rPr>
                <w:lang w:val="es-CR"/>
              </w:rPr>
            </w:pPr>
          </w:p>
        </w:tc>
      </w:tr>
      <w:tr w:rsidR="006B149A" w:rsidTr="00B94B3F">
        <w:tc>
          <w:tcPr>
            <w:tcW w:w="1705" w:type="dxa"/>
            <w:shd w:val="clear" w:color="auto" w:fill="DEEAF6" w:themeFill="accent1" w:themeFillTint="33"/>
          </w:tcPr>
          <w:p w:rsidR="006B149A" w:rsidRDefault="00B94B3F" w:rsidP="006B149A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6</w:t>
            </w:r>
          </w:p>
        </w:tc>
        <w:tc>
          <w:tcPr>
            <w:tcW w:w="7645" w:type="dxa"/>
          </w:tcPr>
          <w:p w:rsidR="006B149A" w:rsidRDefault="006B149A" w:rsidP="006B149A">
            <w:pPr>
              <w:jc w:val="both"/>
              <w:rPr>
                <w:lang w:val="es-CR"/>
              </w:rPr>
            </w:pPr>
            <w:r>
              <w:rPr>
                <w:lang w:val="es-CR"/>
              </w:rPr>
              <w:t>Trata de personas</w:t>
            </w:r>
          </w:p>
          <w:p w:rsidR="006B149A" w:rsidRDefault="006B149A" w:rsidP="00260973">
            <w:pPr>
              <w:jc w:val="both"/>
              <w:rPr>
                <w:lang w:val="es-CR"/>
              </w:rPr>
            </w:pPr>
          </w:p>
        </w:tc>
      </w:tr>
      <w:tr w:rsidR="006B149A" w:rsidTr="00B94B3F">
        <w:tc>
          <w:tcPr>
            <w:tcW w:w="1705" w:type="dxa"/>
            <w:shd w:val="clear" w:color="auto" w:fill="DEEAF6" w:themeFill="accent1" w:themeFillTint="33"/>
          </w:tcPr>
          <w:p w:rsidR="006B149A" w:rsidRDefault="00B94B3F" w:rsidP="006B149A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7</w:t>
            </w:r>
          </w:p>
        </w:tc>
        <w:tc>
          <w:tcPr>
            <w:tcW w:w="7645" w:type="dxa"/>
          </w:tcPr>
          <w:p w:rsidR="006B149A" w:rsidRDefault="006B149A" w:rsidP="00B94B3F">
            <w:pPr>
              <w:jc w:val="both"/>
              <w:rPr>
                <w:lang w:val="es-CR"/>
              </w:rPr>
            </w:pPr>
            <w:r>
              <w:rPr>
                <w:lang w:val="es-CR"/>
              </w:rPr>
              <w:t>Tráfico de migrantes</w:t>
            </w:r>
          </w:p>
          <w:p w:rsidR="00B94B3F" w:rsidRDefault="00B94B3F" w:rsidP="00B94B3F">
            <w:pPr>
              <w:jc w:val="both"/>
              <w:rPr>
                <w:lang w:val="es-CR"/>
              </w:rPr>
            </w:pPr>
          </w:p>
        </w:tc>
      </w:tr>
    </w:tbl>
    <w:p w:rsidR="00543CA8" w:rsidRDefault="00543CA8" w:rsidP="006B149A">
      <w:pPr>
        <w:jc w:val="both"/>
        <w:rPr>
          <w:lang w:val="es-CR"/>
        </w:rPr>
      </w:pPr>
    </w:p>
    <w:sectPr w:rsidR="00543C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36B" w:rsidRDefault="006B336B" w:rsidP="007F0533">
      <w:pPr>
        <w:spacing w:after="0" w:line="240" w:lineRule="auto"/>
      </w:pPr>
      <w:r>
        <w:separator/>
      </w:r>
    </w:p>
  </w:endnote>
  <w:endnote w:type="continuationSeparator" w:id="0">
    <w:p w:rsidR="006B336B" w:rsidRDefault="006B336B" w:rsidP="007F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36B" w:rsidRDefault="006B336B" w:rsidP="007F0533">
      <w:pPr>
        <w:spacing w:after="0" w:line="240" w:lineRule="auto"/>
      </w:pPr>
      <w:r>
        <w:separator/>
      </w:r>
    </w:p>
  </w:footnote>
  <w:footnote w:type="continuationSeparator" w:id="0">
    <w:p w:rsidR="006B336B" w:rsidRDefault="006B336B" w:rsidP="007F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533" w:rsidRDefault="007F0533" w:rsidP="007F0533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8E2A81" wp14:editId="07016432">
          <wp:simplePos x="0" y="0"/>
          <wp:positionH relativeFrom="margin">
            <wp:posOffset>-139065</wp:posOffset>
          </wp:positionH>
          <wp:positionV relativeFrom="margin">
            <wp:posOffset>-855980</wp:posOffset>
          </wp:positionV>
          <wp:extent cx="1962785" cy="780415"/>
          <wp:effectExtent l="0" t="0" r="0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B6D7C1F" wp14:editId="123FA6AD">
          <wp:extent cx="2009775" cy="560705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0533" w:rsidRDefault="007F05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D5F83"/>
    <w:multiLevelType w:val="hybridMultilevel"/>
    <w:tmpl w:val="D840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4740F"/>
    <w:multiLevelType w:val="hybridMultilevel"/>
    <w:tmpl w:val="6FAC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E298B"/>
    <w:multiLevelType w:val="hybridMultilevel"/>
    <w:tmpl w:val="EC24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E55BD"/>
    <w:multiLevelType w:val="hybridMultilevel"/>
    <w:tmpl w:val="1C2A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591"/>
    <w:rsid w:val="000141F5"/>
    <w:rsid w:val="00075329"/>
    <w:rsid w:val="00097974"/>
    <w:rsid w:val="000A17BB"/>
    <w:rsid w:val="000C0112"/>
    <w:rsid w:val="00130F0E"/>
    <w:rsid w:val="0019767D"/>
    <w:rsid w:val="001A6BCF"/>
    <w:rsid w:val="001D7025"/>
    <w:rsid w:val="001E6F3C"/>
    <w:rsid w:val="001E7A06"/>
    <w:rsid w:val="00242856"/>
    <w:rsid w:val="00260973"/>
    <w:rsid w:val="00286B58"/>
    <w:rsid w:val="003D2A47"/>
    <w:rsid w:val="003D4322"/>
    <w:rsid w:val="00461D10"/>
    <w:rsid w:val="00466E85"/>
    <w:rsid w:val="005279F3"/>
    <w:rsid w:val="00543CA8"/>
    <w:rsid w:val="0058785F"/>
    <w:rsid w:val="00692591"/>
    <w:rsid w:val="006B149A"/>
    <w:rsid w:val="006B336B"/>
    <w:rsid w:val="006E35A5"/>
    <w:rsid w:val="006E75CB"/>
    <w:rsid w:val="006F1465"/>
    <w:rsid w:val="00796791"/>
    <w:rsid w:val="007A5750"/>
    <w:rsid w:val="007F0533"/>
    <w:rsid w:val="00822F2A"/>
    <w:rsid w:val="008B2629"/>
    <w:rsid w:val="008D0638"/>
    <w:rsid w:val="008E3DE8"/>
    <w:rsid w:val="008E79F1"/>
    <w:rsid w:val="00A06090"/>
    <w:rsid w:val="00A802C7"/>
    <w:rsid w:val="00AB4EB0"/>
    <w:rsid w:val="00B12FFD"/>
    <w:rsid w:val="00B55293"/>
    <w:rsid w:val="00B55AF2"/>
    <w:rsid w:val="00B91C23"/>
    <w:rsid w:val="00B94B3F"/>
    <w:rsid w:val="00BD682C"/>
    <w:rsid w:val="00C01BEC"/>
    <w:rsid w:val="00C15A71"/>
    <w:rsid w:val="00C24E67"/>
    <w:rsid w:val="00EB75BF"/>
    <w:rsid w:val="00EF2184"/>
    <w:rsid w:val="00F0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D4FA"/>
  <w15:docId w15:val="{3240096E-6C44-40E5-B107-2CC81DA7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5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259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0533"/>
  </w:style>
  <w:style w:type="paragraph" w:styleId="Piedepgina">
    <w:name w:val="footer"/>
    <w:basedOn w:val="Normal"/>
    <w:link w:val="PiedepginaCar"/>
    <w:uiPriority w:val="99"/>
    <w:unhideWhenUsed/>
    <w:rsid w:val="007F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533"/>
  </w:style>
  <w:style w:type="paragraph" w:styleId="Sinespaciado">
    <w:name w:val="No Spacing"/>
    <w:link w:val="SinespaciadoCar"/>
    <w:uiPriority w:val="1"/>
    <w:qFormat/>
    <w:rsid w:val="007F0533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0533"/>
    <w:rPr>
      <w:lang w:val="es-ES"/>
    </w:rPr>
  </w:style>
  <w:style w:type="table" w:styleId="Tablaconcuadrcula">
    <w:name w:val="Table Grid"/>
    <w:basedOn w:val="Tablanormal"/>
    <w:uiPriority w:val="39"/>
    <w:rsid w:val="0054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1007</Words>
  <Characters>5544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SERRANO Luis Alonso</dc:creator>
  <cp:lastModifiedBy>Renán Rodas</cp:lastModifiedBy>
  <cp:revision>3</cp:revision>
  <dcterms:created xsi:type="dcterms:W3CDTF">2018-05-09T21:06:00Z</dcterms:created>
  <dcterms:modified xsi:type="dcterms:W3CDTF">2018-05-12T16:06:00Z</dcterms:modified>
</cp:coreProperties>
</file>