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70" w:rsidRPr="00335CEB" w:rsidRDefault="00D93170" w:rsidP="009B37E7">
      <w:pPr>
        <w:spacing w:after="0" w:line="240" w:lineRule="auto"/>
        <w:jc w:val="center"/>
        <w:rPr>
          <w:b/>
          <w:szCs w:val="24"/>
          <w:lang w:val="en-US"/>
        </w:rPr>
      </w:pPr>
      <w:r w:rsidRPr="00335CEB">
        <w:rPr>
          <w:b/>
          <w:szCs w:val="24"/>
          <w:lang w:val="en-US"/>
        </w:rPr>
        <w:t>Proposal for the T</w:t>
      </w:r>
      <w:r>
        <w:rPr>
          <w:b/>
          <w:szCs w:val="24"/>
          <w:lang w:val="en-US"/>
        </w:rPr>
        <w:t>echnical Secretariat’s budget starting in 2013</w:t>
      </w:r>
    </w:p>
    <w:p w:rsidR="00D93170" w:rsidRPr="00335CEB" w:rsidRDefault="00D93170" w:rsidP="009B37E7">
      <w:pPr>
        <w:spacing w:after="0" w:line="240" w:lineRule="auto"/>
        <w:jc w:val="center"/>
        <w:rPr>
          <w:b/>
          <w:sz w:val="18"/>
          <w:szCs w:val="18"/>
          <w:lang w:val="en-US"/>
        </w:rPr>
      </w:pPr>
    </w:p>
    <w:p w:rsidR="00D93170" w:rsidRPr="00335CEB" w:rsidRDefault="00D93170" w:rsidP="00335CEB">
      <w:pPr>
        <w:spacing w:after="0" w:line="240" w:lineRule="auto"/>
        <w:jc w:val="both"/>
        <w:rPr>
          <w:rFonts w:ascii="Arial" w:hAnsi="Arial" w:cs="Arial"/>
          <w:sz w:val="18"/>
          <w:szCs w:val="18"/>
          <w:lang w:val="en-US"/>
        </w:rPr>
      </w:pPr>
      <w:r w:rsidRPr="00335CEB">
        <w:rPr>
          <w:rFonts w:ascii="Arial" w:hAnsi="Arial" w:cs="Arial"/>
          <w:sz w:val="18"/>
          <w:szCs w:val="18"/>
          <w:lang w:val="en-US"/>
        </w:rPr>
        <w:t>During the meeting of the R</w:t>
      </w:r>
      <w:r>
        <w:rPr>
          <w:rFonts w:ascii="Arial" w:hAnsi="Arial" w:cs="Arial"/>
          <w:sz w:val="18"/>
          <w:szCs w:val="18"/>
          <w:lang w:val="en-US"/>
        </w:rPr>
        <w:t xml:space="preserve">egional Consultation Group on Migration (RCGM), held 16-17 November, 2011, in </w:t>
      </w:r>
      <w:smartTag w:uri="urn:schemas-microsoft-com:office:smarttags" w:element="City">
        <w:smartTag w:uri="urn:schemas-microsoft-com:office:smarttags" w:element="place">
          <w:smartTag w:uri="urn:schemas-microsoft-com:office:smarttags" w:element="City">
            <w:r>
              <w:rPr>
                <w:rFonts w:ascii="Arial" w:hAnsi="Arial" w:cs="Arial"/>
                <w:sz w:val="18"/>
                <w:szCs w:val="18"/>
                <w:lang w:val="en-US"/>
              </w:rPr>
              <w:t>Santo Domingo</w:t>
            </w:r>
          </w:smartTag>
          <w:r>
            <w:rPr>
              <w:rFonts w:ascii="Arial" w:hAnsi="Arial" w:cs="Arial"/>
              <w:sz w:val="18"/>
              <w:szCs w:val="18"/>
              <w:lang w:val="en-US"/>
            </w:rPr>
            <w:t xml:space="preserve">, </w:t>
          </w:r>
          <w:smartTag w:uri="urn:schemas-microsoft-com:office:smarttags" w:element="country-region">
            <w:r>
              <w:rPr>
                <w:rFonts w:ascii="Arial" w:hAnsi="Arial" w:cs="Arial"/>
                <w:sz w:val="18"/>
                <w:szCs w:val="18"/>
                <w:lang w:val="en-US"/>
              </w:rPr>
              <w:t>Dominican Republic</w:t>
            </w:r>
          </w:smartTag>
        </w:smartTag>
      </w:smartTag>
      <w:r>
        <w:rPr>
          <w:rFonts w:ascii="Arial" w:hAnsi="Arial" w:cs="Arial"/>
          <w:sz w:val="18"/>
          <w:szCs w:val="18"/>
          <w:lang w:val="en-US"/>
        </w:rPr>
        <w:t>, the Technical Secretariat of the RCM presented for the consideration of Member Countries a proposal to re-structure its budget for 2013.</w:t>
      </w:r>
    </w:p>
    <w:p w:rsidR="00D93170" w:rsidRPr="00335CEB" w:rsidRDefault="00D93170" w:rsidP="003B2EBB">
      <w:pPr>
        <w:spacing w:after="0" w:line="240" w:lineRule="auto"/>
        <w:jc w:val="both"/>
        <w:rPr>
          <w:rFonts w:ascii="Arial" w:hAnsi="Arial" w:cs="Arial"/>
          <w:sz w:val="18"/>
          <w:szCs w:val="18"/>
          <w:lang w:val="en-US"/>
        </w:rPr>
      </w:pPr>
    </w:p>
    <w:p w:rsidR="00D93170" w:rsidRPr="00335CEB" w:rsidRDefault="00D93170" w:rsidP="003B2EBB">
      <w:pPr>
        <w:spacing w:after="0" w:line="240" w:lineRule="auto"/>
        <w:jc w:val="both"/>
        <w:rPr>
          <w:rFonts w:ascii="Arial" w:hAnsi="Arial" w:cs="Arial"/>
          <w:sz w:val="18"/>
          <w:szCs w:val="18"/>
          <w:lang w:val="en-US"/>
        </w:rPr>
      </w:pPr>
      <w:r w:rsidRPr="00335CEB">
        <w:rPr>
          <w:rFonts w:ascii="Arial" w:hAnsi="Arial" w:cs="Arial"/>
          <w:sz w:val="18"/>
          <w:szCs w:val="18"/>
          <w:lang w:val="en-US"/>
        </w:rPr>
        <w:t>As an outcome from the discussion, the RCGM</w:t>
      </w:r>
      <w:r>
        <w:rPr>
          <w:rFonts w:ascii="Arial" w:hAnsi="Arial" w:cs="Arial"/>
          <w:sz w:val="18"/>
          <w:szCs w:val="18"/>
          <w:lang w:val="en-US"/>
        </w:rPr>
        <w:t xml:space="preserve"> expressed the following in its Conclusion #1:</w:t>
      </w:r>
    </w:p>
    <w:p w:rsidR="00D93170" w:rsidRPr="00C56983" w:rsidRDefault="00D93170" w:rsidP="003B2EBB">
      <w:pPr>
        <w:spacing w:after="0" w:line="240" w:lineRule="auto"/>
        <w:jc w:val="both"/>
        <w:rPr>
          <w:rFonts w:ascii="Arial" w:hAnsi="Arial" w:cs="Arial"/>
          <w:sz w:val="18"/>
          <w:szCs w:val="18"/>
          <w:lang w:val="en-US"/>
        </w:rPr>
      </w:pPr>
    </w:p>
    <w:p w:rsidR="00D93170" w:rsidRPr="00C56983" w:rsidRDefault="00D93170" w:rsidP="00335CEB">
      <w:pPr>
        <w:spacing w:after="0" w:line="240" w:lineRule="auto"/>
        <w:ind w:left="720"/>
        <w:jc w:val="both"/>
        <w:rPr>
          <w:rFonts w:ascii="Arial" w:hAnsi="Arial" w:cs="Arial"/>
          <w:i/>
          <w:sz w:val="18"/>
          <w:szCs w:val="18"/>
          <w:lang w:val="en-US"/>
        </w:rPr>
      </w:pPr>
      <w:r w:rsidRPr="00335CEB">
        <w:rPr>
          <w:rFonts w:ascii="Arial" w:hAnsi="Arial" w:cs="Arial"/>
          <w:i/>
          <w:sz w:val="18"/>
          <w:szCs w:val="18"/>
          <w:lang w:val="en-US"/>
        </w:rPr>
        <w:t>“…The breakdown of the proposal for a new budget format for 2013 was tabled. In this regard, the Technical Secretariat committed to sending each Member Country the proposal in order to receive input. Afterwards, the TS will prepare a budget proposal for consideration of the Vice-Ministers.</w:t>
      </w:r>
      <w:r w:rsidRPr="00C56983">
        <w:rPr>
          <w:rFonts w:ascii="Arial" w:hAnsi="Arial" w:cs="Arial"/>
          <w:i/>
          <w:sz w:val="18"/>
          <w:szCs w:val="18"/>
          <w:lang w:val="en-US"/>
        </w:rPr>
        <w:t>…”</w:t>
      </w:r>
    </w:p>
    <w:p w:rsidR="00D93170" w:rsidRPr="00C56983" w:rsidRDefault="00D93170" w:rsidP="00335CEB">
      <w:pPr>
        <w:spacing w:after="0" w:line="240" w:lineRule="auto"/>
        <w:jc w:val="both"/>
        <w:rPr>
          <w:rFonts w:ascii="Arial" w:hAnsi="Arial" w:cs="Arial"/>
          <w:sz w:val="18"/>
          <w:szCs w:val="18"/>
          <w:lang w:val="en-US"/>
        </w:rPr>
      </w:pPr>
    </w:p>
    <w:p w:rsidR="00D93170" w:rsidRDefault="00D93170" w:rsidP="003B2EBB">
      <w:pPr>
        <w:spacing w:after="0" w:line="240" w:lineRule="auto"/>
        <w:jc w:val="both"/>
        <w:rPr>
          <w:rFonts w:ascii="Arial" w:hAnsi="Arial" w:cs="Arial"/>
          <w:sz w:val="18"/>
          <w:szCs w:val="18"/>
          <w:lang w:val="en-US"/>
        </w:rPr>
      </w:pPr>
      <w:r w:rsidRPr="00335CEB">
        <w:rPr>
          <w:rFonts w:ascii="Arial" w:hAnsi="Arial" w:cs="Arial"/>
          <w:sz w:val="18"/>
          <w:szCs w:val="18"/>
          <w:lang w:val="en-US"/>
        </w:rPr>
        <w:t xml:space="preserve">According to the above, Table 1 shows the breakdown of the proposal presented to the RCGM in </w:t>
      </w:r>
      <w:smartTag w:uri="urn:schemas-microsoft-com:office:smarttags" w:element="City">
        <w:smartTag w:uri="urn:schemas-microsoft-com:office:smarttags" w:element="place">
          <w:r w:rsidRPr="00335CEB">
            <w:rPr>
              <w:rFonts w:ascii="Arial" w:hAnsi="Arial" w:cs="Arial"/>
              <w:sz w:val="18"/>
              <w:szCs w:val="18"/>
              <w:lang w:val="en-US"/>
            </w:rPr>
            <w:t>Santo Domingo</w:t>
          </w:r>
        </w:smartTag>
      </w:smartTag>
      <w:r>
        <w:rPr>
          <w:rFonts w:ascii="Arial" w:hAnsi="Arial" w:cs="Arial"/>
          <w:sz w:val="18"/>
          <w:szCs w:val="18"/>
          <w:lang w:val="en-US"/>
        </w:rPr>
        <w:t>.</w:t>
      </w:r>
    </w:p>
    <w:p w:rsidR="00D93170" w:rsidRDefault="00D93170" w:rsidP="003B2EBB">
      <w:pPr>
        <w:spacing w:after="0" w:line="240" w:lineRule="auto"/>
        <w:jc w:val="both"/>
        <w:rPr>
          <w:rFonts w:ascii="Arial" w:hAnsi="Arial" w:cs="Arial"/>
          <w:sz w:val="18"/>
          <w:szCs w:val="18"/>
          <w:lang w:val="en-US"/>
        </w:rPr>
      </w:pPr>
    </w:p>
    <w:p w:rsidR="00D93170" w:rsidRPr="002B1CC8" w:rsidRDefault="00D93170" w:rsidP="00293680">
      <w:pPr>
        <w:spacing w:after="0" w:line="240" w:lineRule="auto"/>
        <w:jc w:val="center"/>
        <w:rPr>
          <w:rFonts w:ascii="Arial" w:hAnsi="Arial" w:cs="Arial"/>
          <w:b/>
          <w:bCs/>
          <w:sz w:val="18"/>
          <w:szCs w:val="20"/>
          <w:u w:val="single"/>
          <w:lang w:val="en-US" w:eastAsia="es-CR"/>
        </w:rPr>
      </w:pPr>
      <w:r w:rsidRPr="002B1CC8">
        <w:rPr>
          <w:rFonts w:ascii="Arial" w:hAnsi="Arial" w:cs="Arial"/>
          <w:b/>
          <w:bCs/>
          <w:sz w:val="18"/>
          <w:szCs w:val="20"/>
          <w:u w:val="single"/>
          <w:lang w:val="en-US" w:eastAsia="es-CR"/>
        </w:rPr>
        <w:t>Table 1</w:t>
      </w:r>
    </w:p>
    <w:p w:rsidR="00D93170" w:rsidRDefault="00D93170" w:rsidP="00293680">
      <w:pPr>
        <w:spacing w:after="0" w:line="240" w:lineRule="auto"/>
        <w:jc w:val="center"/>
        <w:rPr>
          <w:rFonts w:ascii="Arial" w:hAnsi="Arial" w:cs="Arial"/>
          <w:b/>
          <w:bCs/>
          <w:sz w:val="18"/>
          <w:szCs w:val="18"/>
          <w:lang w:val="en-US" w:eastAsia="es-CR"/>
        </w:rPr>
      </w:pPr>
      <w:r w:rsidRPr="002B1CC8">
        <w:rPr>
          <w:rFonts w:ascii="Arial" w:hAnsi="Arial" w:cs="Arial"/>
          <w:b/>
          <w:bCs/>
          <w:sz w:val="18"/>
          <w:szCs w:val="18"/>
          <w:lang w:val="en-US" w:eastAsia="es-CR"/>
        </w:rPr>
        <w:t>Proposed Budget for the TS (2013)</w:t>
      </w:r>
    </w:p>
    <w:p w:rsidR="00D93170" w:rsidRPr="00335CEB" w:rsidRDefault="00D93170" w:rsidP="00293680">
      <w:pPr>
        <w:spacing w:after="0" w:line="240" w:lineRule="auto"/>
        <w:jc w:val="both"/>
        <w:rPr>
          <w:rFonts w:ascii="Arial" w:hAnsi="Arial" w:cs="Arial"/>
          <w:sz w:val="18"/>
          <w:szCs w:val="18"/>
          <w:lang w:val="en-US"/>
        </w:rPr>
      </w:pPr>
    </w:p>
    <w:tbl>
      <w:tblPr>
        <w:tblW w:w="6800" w:type="dxa"/>
        <w:jc w:val="center"/>
        <w:tblInd w:w="60" w:type="dxa"/>
        <w:tblCellMar>
          <w:left w:w="70" w:type="dxa"/>
          <w:right w:w="70" w:type="dxa"/>
        </w:tblCellMar>
        <w:tblLook w:val="00A0"/>
      </w:tblPr>
      <w:tblGrid>
        <w:gridCol w:w="2140"/>
        <w:gridCol w:w="2520"/>
        <w:gridCol w:w="2140"/>
      </w:tblGrid>
      <w:tr w:rsidR="00D93170" w:rsidRPr="00A81B46" w:rsidTr="00293680">
        <w:trPr>
          <w:trHeight w:val="270"/>
          <w:jc w:val="center"/>
        </w:trPr>
        <w:tc>
          <w:tcPr>
            <w:tcW w:w="4660" w:type="dxa"/>
            <w:gridSpan w:val="2"/>
            <w:tcBorders>
              <w:top w:val="nil"/>
              <w:left w:val="nil"/>
              <w:bottom w:val="nil"/>
              <w:right w:val="nil"/>
            </w:tcBorders>
            <w:noWrap/>
            <w:vAlign w:val="bottom"/>
          </w:tcPr>
          <w:p w:rsidR="00D93170" w:rsidRPr="002B1CC8" w:rsidRDefault="00D93170" w:rsidP="002B1CC8">
            <w:pPr>
              <w:spacing w:after="0" w:line="240" w:lineRule="auto"/>
              <w:rPr>
                <w:rFonts w:ascii="Arial" w:hAnsi="Arial" w:cs="Arial"/>
                <w:sz w:val="18"/>
                <w:szCs w:val="18"/>
                <w:lang w:val="en-US" w:eastAsia="es-CR"/>
              </w:rPr>
            </w:pPr>
          </w:p>
        </w:tc>
        <w:tc>
          <w:tcPr>
            <w:tcW w:w="2140" w:type="dxa"/>
            <w:tcBorders>
              <w:top w:val="nil"/>
              <w:left w:val="nil"/>
              <w:bottom w:val="nil"/>
              <w:right w:val="nil"/>
            </w:tcBorders>
            <w:noWrap/>
            <w:vAlign w:val="bottom"/>
          </w:tcPr>
          <w:p w:rsidR="00D93170" w:rsidRPr="002B1CC8" w:rsidRDefault="00D93170" w:rsidP="002B1CC8">
            <w:pPr>
              <w:spacing w:after="0" w:line="240" w:lineRule="auto"/>
              <w:rPr>
                <w:rFonts w:ascii="Arial" w:hAnsi="Arial" w:cs="Arial"/>
                <w:sz w:val="18"/>
                <w:szCs w:val="18"/>
                <w:lang w:val="en-US" w:eastAsia="es-CR"/>
              </w:rPr>
            </w:pPr>
          </w:p>
        </w:tc>
      </w:tr>
      <w:tr w:rsidR="00D93170" w:rsidRPr="004069B9" w:rsidTr="00293680">
        <w:trPr>
          <w:trHeight w:val="270"/>
          <w:jc w:val="center"/>
        </w:trPr>
        <w:tc>
          <w:tcPr>
            <w:tcW w:w="4660" w:type="dxa"/>
            <w:gridSpan w:val="2"/>
            <w:tcBorders>
              <w:top w:val="nil"/>
              <w:left w:val="nil"/>
              <w:bottom w:val="nil"/>
              <w:right w:val="nil"/>
            </w:tcBorders>
            <w:noWrap/>
            <w:vAlign w:val="bottom"/>
          </w:tcPr>
          <w:p w:rsidR="00D93170" w:rsidRPr="002B1CC8" w:rsidRDefault="00D93170" w:rsidP="002B1CC8">
            <w:pPr>
              <w:spacing w:after="0" w:line="240" w:lineRule="auto"/>
              <w:rPr>
                <w:rFonts w:ascii="Arial" w:hAnsi="Arial" w:cs="Arial"/>
                <w:sz w:val="18"/>
                <w:szCs w:val="18"/>
                <w:lang w:val="en-US" w:eastAsia="es-CR"/>
              </w:rPr>
            </w:pPr>
          </w:p>
        </w:tc>
        <w:tc>
          <w:tcPr>
            <w:tcW w:w="2140" w:type="dxa"/>
            <w:tcBorders>
              <w:top w:val="single" w:sz="8" w:space="0" w:color="auto"/>
              <w:left w:val="nil"/>
              <w:bottom w:val="single" w:sz="8" w:space="0" w:color="auto"/>
              <w:right w:val="single" w:sz="8" w:space="0" w:color="auto"/>
            </w:tcBorders>
          </w:tcPr>
          <w:p w:rsidR="00D93170" w:rsidRPr="002B1CC8" w:rsidRDefault="00D93170" w:rsidP="002B1CC8">
            <w:pPr>
              <w:spacing w:after="0" w:line="240" w:lineRule="auto"/>
              <w:jc w:val="center"/>
              <w:rPr>
                <w:rFonts w:ascii="Arial" w:hAnsi="Arial" w:cs="Arial"/>
                <w:sz w:val="18"/>
                <w:szCs w:val="18"/>
                <w:lang w:eastAsia="es-CR"/>
              </w:rPr>
            </w:pPr>
            <w:r w:rsidRPr="002B1CC8">
              <w:rPr>
                <w:rFonts w:ascii="Arial" w:hAnsi="Arial" w:cs="Arial"/>
                <w:sz w:val="18"/>
                <w:szCs w:val="18"/>
                <w:lang w:eastAsia="es-CR"/>
              </w:rPr>
              <w:t>Proposed Budget</w:t>
            </w:r>
          </w:p>
        </w:tc>
      </w:tr>
      <w:tr w:rsidR="00D93170" w:rsidRPr="004069B9" w:rsidTr="00293680">
        <w:trPr>
          <w:trHeight w:val="270"/>
          <w:jc w:val="center"/>
        </w:trPr>
        <w:tc>
          <w:tcPr>
            <w:tcW w:w="4660" w:type="dxa"/>
            <w:gridSpan w:val="2"/>
            <w:tcBorders>
              <w:top w:val="single" w:sz="8" w:space="0" w:color="auto"/>
              <w:left w:val="single" w:sz="8" w:space="0" w:color="auto"/>
              <w:bottom w:val="single" w:sz="8" w:space="0" w:color="auto"/>
              <w:right w:val="single" w:sz="8" w:space="0" w:color="auto"/>
            </w:tcBorders>
          </w:tcPr>
          <w:p w:rsidR="00D93170" w:rsidRPr="00834513" w:rsidRDefault="00D93170" w:rsidP="002B1CC8">
            <w:pPr>
              <w:spacing w:after="0" w:line="240" w:lineRule="auto"/>
              <w:rPr>
                <w:rFonts w:ascii="Arial" w:hAnsi="Arial" w:cs="Arial"/>
                <w:b/>
                <w:sz w:val="18"/>
                <w:szCs w:val="18"/>
                <w:lang w:eastAsia="es-CR"/>
              </w:rPr>
            </w:pPr>
            <w:bookmarkStart w:id="0" w:name="RANGE!A5"/>
            <w:bookmarkEnd w:id="0"/>
            <w:r w:rsidRPr="00834513">
              <w:rPr>
                <w:rFonts w:ascii="Arial" w:hAnsi="Arial" w:cs="Arial"/>
                <w:b/>
                <w:sz w:val="18"/>
                <w:szCs w:val="18"/>
                <w:lang w:eastAsia="es-CR"/>
              </w:rPr>
              <w:t>Staff [1]</w:t>
            </w:r>
          </w:p>
        </w:tc>
        <w:tc>
          <w:tcPr>
            <w:tcW w:w="2140" w:type="dxa"/>
            <w:tcBorders>
              <w:top w:val="nil"/>
              <w:left w:val="nil"/>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 </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Unit Coordinator</w:t>
            </w:r>
          </w:p>
        </w:tc>
        <w:tc>
          <w:tcPr>
            <w:tcW w:w="2140" w:type="dxa"/>
            <w:tcBorders>
              <w:top w:val="nil"/>
              <w:left w:val="nil"/>
              <w:bottom w:val="single" w:sz="8" w:space="0" w:color="auto"/>
              <w:right w:val="single" w:sz="8" w:space="0" w:color="auto"/>
            </w:tcBorders>
          </w:tcPr>
          <w:p w:rsidR="00D93170" w:rsidRPr="002B1CC8" w:rsidRDefault="00D93170" w:rsidP="002B1CC8">
            <w:pPr>
              <w:spacing w:after="0" w:line="240" w:lineRule="auto"/>
              <w:jc w:val="right"/>
              <w:rPr>
                <w:rFonts w:ascii="Arial" w:hAnsi="Arial" w:cs="Arial"/>
                <w:sz w:val="18"/>
                <w:szCs w:val="18"/>
                <w:lang w:eastAsia="es-CR"/>
              </w:rPr>
            </w:pPr>
            <w:r w:rsidRPr="002B1CC8">
              <w:rPr>
                <w:rFonts w:ascii="Arial" w:hAnsi="Arial" w:cs="Arial"/>
                <w:sz w:val="18"/>
                <w:szCs w:val="18"/>
                <w:lang w:eastAsia="es-CR"/>
              </w:rPr>
              <w:t>$78.840,00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Information Technology Specialist</w:t>
            </w:r>
          </w:p>
        </w:tc>
        <w:tc>
          <w:tcPr>
            <w:tcW w:w="2140" w:type="dxa"/>
            <w:tcBorders>
              <w:top w:val="nil"/>
              <w:left w:val="nil"/>
              <w:bottom w:val="single" w:sz="8" w:space="0" w:color="auto"/>
              <w:right w:val="single" w:sz="8" w:space="0" w:color="auto"/>
            </w:tcBorders>
          </w:tcPr>
          <w:p w:rsidR="00D93170" w:rsidRPr="002B1CC8" w:rsidRDefault="00D93170" w:rsidP="002B1CC8">
            <w:pPr>
              <w:spacing w:after="0" w:line="240" w:lineRule="auto"/>
              <w:jc w:val="right"/>
              <w:rPr>
                <w:rFonts w:ascii="Arial" w:hAnsi="Arial" w:cs="Arial"/>
                <w:sz w:val="18"/>
                <w:szCs w:val="18"/>
                <w:lang w:eastAsia="es-CR"/>
              </w:rPr>
            </w:pPr>
            <w:r w:rsidRPr="002B1CC8">
              <w:rPr>
                <w:rFonts w:ascii="Arial" w:hAnsi="Arial" w:cs="Arial"/>
                <w:sz w:val="18"/>
                <w:szCs w:val="18"/>
                <w:lang w:eastAsia="es-CR"/>
              </w:rPr>
              <w:t>$45.664,00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Project Assistant</w:t>
            </w:r>
          </w:p>
        </w:tc>
        <w:tc>
          <w:tcPr>
            <w:tcW w:w="2140" w:type="dxa"/>
            <w:tcBorders>
              <w:top w:val="nil"/>
              <w:left w:val="nil"/>
              <w:bottom w:val="single" w:sz="8" w:space="0" w:color="auto"/>
              <w:right w:val="single" w:sz="8" w:space="0" w:color="auto"/>
            </w:tcBorders>
          </w:tcPr>
          <w:p w:rsidR="00D93170" w:rsidRPr="002B1CC8" w:rsidRDefault="00D93170" w:rsidP="002B1CC8">
            <w:pPr>
              <w:spacing w:after="0" w:line="240" w:lineRule="auto"/>
              <w:jc w:val="right"/>
              <w:rPr>
                <w:rFonts w:ascii="Arial" w:hAnsi="Arial" w:cs="Arial"/>
                <w:sz w:val="18"/>
                <w:szCs w:val="18"/>
                <w:lang w:eastAsia="es-CR"/>
              </w:rPr>
            </w:pPr>
            <w:r w:rsidRPr="002B1CC8">
              <w:rPr>
                <w:rFonts w:ascii="Arial" w:hAnsi="Arial" w:cs="Arial"/>
                <w:sz w:val="18"/>
                <w:szCs w:val="18"/>
                <w:lang w:eastAsia="es-CR"/>
              </w:rPr>
              <w:t>$22.995,00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834513" w:rsidRDefault="00D93170" w:rsidP="002B1CC8">
            <w:pPr>
              <w:spacing w:after="0" w:line="240" w:lineRule="auto"/>
              <w:rPr>
                <w:rFonts w:ascii="Arial" w:hAnsi="Arial" w:cs="Arial"/>
                <w:sz w:val="18"/>
                <w:szCs w:val="18"/>
                <w:lang w:val="en-US" w:eastAsia="es-CR"/>
              </w:rPr>
            </w:pPr>
            <w:bookmarkStart w:id="1" w:name="RANGE!A9"/>
            <w:bookmarkEnd w:id="1"/>
            <w:r w:rsidRPr="00834513">
              <w:rPr>
                <w:rFonts w:ascii="Arial" w:hAnsi="Arial" w:cs="Arial"/>
                <w:sz w:val="18"/>
                <w:szCs w:val="18"/>
                <w:lang w:val="en-US" w:eastAsia="es-CR"/>
              </w:rPr>
              <w:t>Other expenses and staff reserves [2]</w:t>
            </w:r>
          </w:p>
        </w:tc>
        <w:tc>
          <w:tcPr>
            <w:tcW w:w="2140" w:type="dxa"/>
            <w:tcBorders>
              <w:top w:val="nil"/>
              <w:left w:val="nil"/>
              <w:bottom w:val="single" w:sz="8" w:space="0" w:color="auto"/>
              <w:right w:val="single" w:sz="8" w:space="0" w:color="auto"/>
            </w:tcBorders>
          </w:tcPr>
          <w:p w:rsidR="00D93170" w:rsidRPr="002B1CC8" w:rsidRDefault="00D93170" w:rsidP="002B1CC8">
            <w:pPr>
              <w:spacing w:after="0" w:line="240" w:lineRule="auto"/>
              <w:jc w:val="right"/>
              <w:rPr>
                <w:rFonts w:ascii="Arial" w:hAnsi="Arial" w:cs="Arial"/>
                <w:sz w:val="18"/>
                <w:szCs w:val="18"/>
                <w:lang w:eastAsia="es-CR"/>
              </w:rPr>
            </w:pPr>
            <w:r w:rsidRPr="002B1CC8">
              <w:rPr>
                <w:rFonts w:ascii="Arial" w:hAnsi="Arial" w:cs="Arial"/>
                <w:sz w:val="18"/>
                <w:szCs w:val="18"/>
                <w:lang w:eastAsia="es-CR"/>
              </w:rPr>
              <w:t>$26.280,00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b/>
                <w:bCs/>
                <w:i/>
                <w:iCs/>
                <w:sz w:val="18"/>
                <w:szCs w:val="18"/>
                <w:lang w:eastAsia="es-CR"/>
              </w:rPr>
            </w:pPr>
            <w:r w:rsidRPr="002B1CC8">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D93170" w:rsidRPr="002B1CC8" w:rsidRDefault="00D93170" w:rsidP="002B1CC8">
            <w:pPr>
              <w:spacing w:after="0" w:line="240" w:lineRule="auto"/>
              <w:jc w:val="right"/>
              <w:rPr>
                <w:rFonts w:ascii="Arial" w:hAnsi="Arial" w:cs="Arial"/>
                <w:b/>
                <w:bCs/>
                <w:sz w:val="18"/>
                <w:szCs w:val="18"/>
                <w:lang w:eastAsia="es-CR"/>
              </w:rPr>
            </w:pPr>
            <w:r w:rsidRPr="002B1CC8">
              <w:rPr>
                <w:rFonts w:ascii="Arial" w:hAnsi="Arial" w:cs="Arial"/>
                <w:b/>
                <w:bCs/>
                <w:sz w:val="18"/>
                <w:szCs w:val="18"/>
                <w:lang w:eastAsia="es-CR"/>
              </w:rPr>
              <w:t>$173.779,00</w:t>
            </w:r>
          </w:p>
        </w:tc>
      </w:tr>
      <w:tr w:rsidR="00D93170" w:rsidRPr="004069B9" w:rsidTr="00293680">
        <w:trPr>
          <w:gridAfter w:val="2"/>
          <w:wAfter w:w="4660" w:type="dxa"/>
          <w:trHeight w:val="270"/>
          <w:jc w:val="center"/>
        </w:trPr>
        <w:tc>
          <w:tcPr>
            <w:tcW w:w="2140" w:type="dxa"/>
            <w:tcBorders>
              <w:top w:val="nil"/>
              <w:left w:val="nil"/>
              <w:right w:val="nil"/>
            </w:tcBorders>
            <w:noWrap/>
            <w:vAlign w:val="bottom"/>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 </w:t>
            </w:r>
          </w:p>
        </w:tc>
      </w:tr>
      <w:tr w:rsidR="00D93170" w:rsidRPr="004069B9" w:rsidTr="00293680">
        <w:trPr>
          <w:trHeight w:val="270"/>
          <w:jc w:val="center"/>
        </w:trPr>
        <w:tc>
          <w:tcPr>
            <w:tcW w:w="4660" w:type="dxa"/>
            <w:gridSpan w:val="2"/>
            <w:tcBorders>
              <w:left w:val="single" w:sz="8" w:space="0" w:color="auto"/>
              <w:bottom w:val="single" w:sz="8" w:space="0" w:color="auto"/>
            </w:tcBorders>
          </w:tcPr>
          <w:p w:rsidR="00D93170" w:rsidRPr="00834513" w:rsidRDefault="00D93170" w:rsidP="002B1CC8">
            <w:pPr>
              <w:spacing w:after="0" w:line="240" w:lineRule="auto"/>
              <w:rPr>
                <w:rFonts w:ascii="Arial" w:hAnsi="Arial" w:cs="Arial"/>
                <w:b/>
                <w:sz w:val="18"/>
                <w:szCs w:val="18"/>
                <w:lang w:eastAsia="es-CR"/>
              </w:rPr>
            </w:pPr>
            <w:bookmarkStart w:id="2" w:name="RANGE!A12"/>
            <w:bookmarkEnd w:id="2"/>
            <w:r w:rsidRPr="00834513">
              <w:rPr>
                <w:rFonts w:ascii="Arial" w:hAnsi="Arial" w:cs="Arial"/>
                <w:b/>
                <w:sz w:val="18"/>
                <w:szCs w:val="18"/>
                <w:lang w:eastAsia="es-CR"/>
              </w:rPr>
              <w:t>Operative expenses [3]</w:t>
            </w:r>
          </w:p>
        </w:tc>
        <w:tc>
          <w:tcPr>
            <w:tcW w:w="2140" w:type="dxa"/>
            <w:tcBorders>
              <w:left w:val="nil"/>
              <w:bottom w:val="single" w:sz="8" w:space="0" w:color="auto"/>
              <w:right w:val="nil"/>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 </w:t>
            </w:r>
          </w:p>
        </w:tc>
      </w:tr>
      <w:tr w:rsidR="00D93170" w:rsidRPr="004069B9" w:rsidTr="00293680">
        <w:trPr>
          <w:trHeight w:val="525"/>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b/>
                <w:bCs/>
                <w:sz w:val="18"/>
                <w:szCs w:val="18"/>
                <w:lang w:val="en-US" w:eastAsia="es-CR"/>
              </w:rPr>
            </w:pPr>
            <w:r w:rsidRPr="002B1CC8">
              <w:rPr>
                <w:rFonts w:ascii="Arial" w:hAnsi="Arial" w:cs="Arial"/>
                <w:b/>
                <w:bCs/>
                <w:sz w:val="18"/>
                <w:szCs w:val="18"/>
                <w:lang w:val="en-US" w:eastAsia="es-CR"/>
              </w:rPr>
              <w:t>Support for seminars and meetings (interpreting services, equipment, etc.)</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sz w:val="18"/>
                <w:szCs w:val="20"/>
                <w:lang w:eastAsia="es-CR"/>
              </w:rPr>
            </w:pPr>
            <w:r>
              <w:rPr>
                <w:rFonts w:ascii="Arial" w:hAnsi="Arial" w:cs="Arial"/>
                <w:sz w:val="18"/>
                <w:szCs w:val="20"/>
                <w:lang w:eastAsia="es-CR"/>
              </w:rPr>
              <w:t>$37</w:t>
            </w:r>
            <w:r w:rsidRPr="00B32F94">
              <w:rPr>
                <w:rFonts w:ascii="Arial" w:hAnsi="Arial" w:cs="Arial"/>
                <w:sz w:val="18"/>
                <w:szCs w:val="20"/>
                <w:lang w:eastAsia="es-CR"/>
              </w:rPr>
              <w:t>.000,00</w:t>
            </w:r>
          </w:p>
        </w:tc>
      </w:tr>
      <w:tr w:rsidR="00D93170" w:rsidRPr="004069B9" w:rsidTr="00293680">
        <w:trPr>
          <w:trHeight w:val="255"/>
          <w:jc w:val="center"/>
        </w:trPr>
        <w:tc>
          <w:tcPr>
            <w:tcW w:w="4660" w:type="dxa"/>
            <w:gridSpan w:val="2"/>
            <w:tcBorders>
              <w:top w:val="nil"/>
              <w:left w:val="single" w:sz="8" w:space="0" w:color="auto"/>
              <w:bottom w:val="nil"/>
              <w:right w:val="single" w:sz="8" w:space="0" w:color="auto"/>
            </w:tcBorders>
          </w:tcPr>
          <w:p w:rsidR="00D93170" w:rsidRPr="002B1CC8" w:rsidRDefault="00D93170" w:rsidP="002B1CC8">
            <w:pPr>
              <w:spacing w:after="0" w:line="240" w:lineRule="auto"/>
              <w:rPr>
                <w:rFonts w:ascii="Arial" w:hAnsi="Arial" w:cs="Arial"/>
                <w:i/>
                <w:iCs/>
                <w:sz w:val="18"/>
                <w:szCs w:val="18"/>
                <w:lang w:eastAsia="es-CR"/>
              </w:rPr>
            </w:pPr>
            <w:r w:rsidRPr="002B1CC8">
              <w:rPr>
                <w:rFonts w:ascii="Arial" w:hAnsi="Arial" w:cs="Arial"/>
                <w:i/>
                <w:iCs/>
                <w:sz w:val="18"/>
                <w:szCs w:val="18"/>
                <w:lang w:eastAsia="es-CR"/>
              </w:rPr>
              <w:t>Equipment</w:t>
            </w:r>
          </w:p>
        </w:tc>
        <w:tc>
          <w:tcPr>
            <w:tcW w:w="2140" w:type="dxa"/>
            <w:tcBorders>
              <w:top w:val="nil"/>
              <w:left w:val="nil"/>
              <w:bottom w:val="nil"/>
              <w:right w:val="single" w:sz="8" w:space="0" w:color="auto"/>
            </w:tcBorders>
          </w:tcPr>
          <w:p w:rsidR="00D93170" w:rsidRPr="00B32F94" w:rsidRDefault="00D93170" w:rsidP="001B520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$1</w:t>
            </w:r>
            <w:r>
              <w:rPr>
                <w:rFonts w:ascii="Arial" w:hAnsi="Arial" w:cs="Arial"/>
                <w:i/>
                <w:iCs/>
                <w:sz w:val="18"/>
                <w:szCs w:val="16"/>
                <w:lang w:eastAsia="es-CR"/>
              </w:rPr>
              <w:t>4</w:t>
            </w:r>
            <w:r w:rsidRPr="00B32F94">
              <w:rPr>
                <w:rFonts w:ascii="Arial" w:hAnsi="Arial" w:cs="Arial"/>
                <w:i/>
                <w:iCs/>
                <w:sz w:val="18"/>
                <w:szCs w:val="16"/>
                <w:lang w:eastAsia="es-CR"/>
              </w:rPr>
              <w:t>.000,00</w:t>
            </w:r>
          </w:p>
        </w:tc>
      </w:tr>
      <w:tr w:rsidR="00D93170" w:rsidRPr="004069B9" w:rsidTr="00293680">
        <w:trPr>
          <w:trHeight w:val="255"/>
          <w:jc w:val="center"/>
        </w:trPr>
        <w:tc>
          <w:tcPr>
            <w:tcW w:w="4660" w:type="dxa"/>
            <w:gridSpan w:val="2"/>
            <w:tcBorders>
              <w:top w:val="nil"/>
              <w:left w:val="single" w:sz="8" w:space="0" w:color="auto"/>
              <w:bottom w:val="nil"/>
              <w:right w:val="single" w:sz="8" w:space="0" w:color="auto"/>
            </w:tcBorders>
          </w:tcPr>
          <w:p w:rsidR="00D93170" w:rsidRPr="002B1CC8" w:rsidRDefault="00D93170" w:rsidP="002B1CC8">
            <w:pPr>
              <w:spacing w:after="0" w:line="240" w:lineRule="auto"/>
              <w:rPr>
                <w:rFonts w:ascii="Arial" w:hAnsi="Arial" w:cs="Arial"/>
                <w:i/>
                <w:iCs/>
                <w:sz w:val="18"/>
                <w:szCs w:val="18"/>
                <w:lang w:eastAsia="es-CR"/>
              </w:rPr>
            </w:pPr>
            <w:r w:rsidRPr="002B1CC8">
              <w:rPr>
                <w:rFonts w:ascii="Arial" w:hAnsi="Arial" w:cs="Arial"/>
                <w:i/>
                <w:iCs/>
                <w:sz w:val="18"/>
                <w:szCs w:val="18"/>
                <w:lang w:eastAsia="es-CR"/>
              </w:rPr>
              <w:t>Translation</w:t>
            </w:r>
          </w:p>
        </w:tc>
        <w:tc>
          <w:tcPr>
            <w:tcW w:w="2140" w:type="dxa"/>
            <w:tcBorders>
              <w:top w:val="nil"/>
              <w:left w:val="nil"/>
              <w:bottom w:val="nil"/>
              <w:right w:val="single" w:sz="8" w:space="0" w:color="auto"/>
            </w:tcBorders>
          </w:tcPr>
          <w:p w:rsidR="00D93170" w:rsidRPr="00B32F94" w:rsidRDefault="00D93170" w:rsidP="001B520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$7.400,00</w:t>
            </w:r>
          </w:p>
        </w:tc>
      </w:tr>
      <w:tr w:rsidR="00D93170" w:rsidRPr="004069B9" w:rsidTr="00293680">
        <w:trPr>
          <w:trHeight w:val="255"/>
          <w:jc w:val="center"/>
        </w:trPr>
        <w:tc>
          <w:tcPr>
            <w:tcW w:w="4660" w:type="dxa"/>
            <w:gridSpan w:val="2"/>
            <w:tcBorders>
              <w:top w:val="nil"/>
              <w:left w:val="single" w:sz="8" w:space="0" w:color="auto"/>
              <w:bottom w:val="nil"/>
              <w:right w:val="single" w:sz="8" w:space="0" w:color="auto"/>
            </w:tcBorders>
          </w:tcPr>
          <w:p w:rsidR="00D93170" w:rsidRPr="002B1CC8" w:rsidRDefault="00D93170" w:rsidP="002B1CC8">
            <w:pPr>
              <w:spacing w:after="0" w:line="240" w:lineRule="auto"/>
              <w:rPr>
                <w:rFonts w:ascii="Arial" w:hAnsi="Arial" w:cs="Arial"/>
                <w:i/>
                <w:iCs/>
                <w:sz w:val="18"/>
                <w:szCs w:val="18"/>
                <w:lang w:eastAsia="es-CR"/>
              </w:rPr>
            </w:pPr>
            <w:r w:rsidRPr="002B1CC8">
              <w:rPr>
                <w:rFonts w:ascii="Arial" w:hAnsi="Arial" w:cs="Arial"/>
                <w:i/>
                <w:iCs/>
                <w:sz w:val="18"/>
                <w:szCs w:val="18"/>
                <w:lang w:eastAsia="es-CR"/>
              </w:rPr>
              <w:t>Interpreting</w:t>
            </w:r>
          </w:p>
        </w:tc>
        <w:tc>
          <w:tcPr>
            <w:tcW w:w="2140" w:type="dxa"/>
            <w:tcBorders>
              <w:top w:val="nil"/>
              <w:left w:val="nil"/>
              <w:bottom w:val="nil"/>
              <w:right w:val="single" w:sz="8" w:space="0" w:color="auto"/>
            </w:tcBorders>
          </w:tcPr>
          <w:p w:rsidR="00D93170" w:rsidRPr="00B32F94" w:rsidRDefault="00D93170" w:rsidP="001B520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$13.000,00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i/>
                <w:iCs/>
                <w:sz w:val="18"/>
                <w:szCs w:val="18"/>
                <w:lang w:eastAsia="es-CR"/>
              </w:rPr>
            </w:pPr>
            <w:r w:rsidRPr="002B1CC8">
              <w:rPr>
                <w:rFonts w:ascii="Arial" w:hAnsi="Arial" w:cs="Arial"/>
                <w:i/>
                <w:iCs/>
                <w:sz w:val="18"/>
                <w:szCs w:val="18"/>
                <w:lang w:eastAsia="es-CR"/>
              </w:rPr>
              <w:t>Miscellaneous expenses</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$2.600,00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Equipment and Internet access</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sz w:val="18"/>
                <w:szCs w:val="20"/>
                <w:lang w:eastAsia="es-CR"/>
              </w:rPr>
            </w:pPr>
            <w:r w:rsidRPr="00B32F94">
              <w:rPr>
                <w:rFonts w:ascii="Arial" w:hAnsi="Arial" w:cs="Arial"/>
                <w:sz w:val="18"/>
                <w:szCs w:val="20"/>
                <w:lang w:eastAsia="es-CR"/>
              </w:rPr>
              <w:t>$8.000,00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Office expenses</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sz w:val="18"/>
                <w:szCs w:val="20"/>
                <w:lang w:eastAsia="es-CR"/>
              </w:rPr>
            </w:pPr>
            <w:r>
              <w:rPr>
                <w:rFonts w:ascii="Arial" w:hAnsi="Arial" w:cs="Arial"/>
                <w:sz w:val="18"/>
                <w:szCs w:val="20"/>
                <w:lang w:eastAsia="es-CR"/>
              </w:rPr>
              <w:t>$41.000</w:t>
            </w:r>
            <w:r w:rsidRPr="00B32F94">
              <w:rPr>
                <w:rFonts w:ascii="Arial" w:hAnsi="Arial" w:cs="Arial"/>
                <w:sz w:val="18"/>
                <w:szCs w:val="20"/>
                <w:lang w:eastAsia="es-CR"/>
              </w:rPr>
              <w:t>,00</w:t>
            </w:r>
          </w:p>
        </w:tc>
      </w:tr>
      <w:tr w:rsidR="00D93170" w:rsidRPr="004069B9" w:rsidTr="00293680">
        <w:trPr>
          <w:trHeight w:val="255"/>
          <w:jc w:val="center"/>
        </w:trPr>
        <w:tc>
          <w:tcPr>
            <w:tcW w:w="4660" w:type="dxa"/>
            <w:gridSpan w:val="2"/>
            <w:tcBorders>
              <w:top w:val="nil"/>
              <w:left w:val="single" w:sz="8" w:space="0" w:color="auto"/>
              <w:bottom w:val="nil"/>
              <w:right w:val="single" w:sz="8" w:space="0" w:color="auto"/>
            </w:tcBorders>
          </w:tcPr>
          <w:p w:rsidR="00D93170" w:rsidRPr="002B1CC8" w:rsidRDefault="00D93170" w:rsidP="002B1CC8">
            <w:pPr>
              <w:spacing w:after="0" w:line="240" w:lineRule="auto"/>
              <w:rPr>
                <w:rFonts w:ascii="Arial" w:hAnsi="Arial" w:cs="Arial"/>
                <w:i/>
                <w:iCs/>
                <w:sz w:val="18"/>
                <w:szCs w:val="18"/>
                <w:lang w:eastAsia="es-CR"/>
              </w:rPr>
            </w:pPr>
            <w:r w:rsidRPr="002B1CC8">
              <w:rPr>
                <w:rFonts w:ascii="Arial" w:hAnsi="Arial" w:cs="Arial"/>
                <w:i/>
                <w:iCs/>
                <w:sz w:val="18"/>
                <w:szCs w:val="18"/>
                <w:lang w:eastAsia="es-CR"/>
              </w:rPr>
              <w:t>Rent and security services</w:t>
            </w:r>
          </w:p>
        </w:tc>
        <w:tc>
          <w:tcPr>
            <w:tcW w:w="2140" w:type="dxa"/>
            <w:tcBorders>
              <w:top w:val="nil"/>
              <w:left w:val="nil"/>
              <w:bottom w:val="nil"/>
              <w:right w:val="single" w:sz="8" w:space="0" w:color="auto"/>
            </w:tcBorders>
          </w:tcPr>
          <w:p w:rsidR="00D93170" w:rsidRPr="00B32F94" w:rsidRDefault="00D93170" w:rsidP="001B5205">
            <w:pPr>
              <w:spacing w:after="0" w:line="240" w:lineRule="auto"/>
              <w:jc w:val="right"/>
              <w:rPr>
                <w:rFonts w:ascii="Arial" w:hAnsi="Arial" w:cs="Arial"/>
                <w:i/>
                <w:iCs/>
                <w:sz w:val="18"/>
                <w:szCs w:val="16"/>
                <w:lang w:eastAsia="es-CR"/>
              </w:rPr>
            </w:pPr>
            <w:r>
              <w:rPr>
                <w:rFonts w:ascii="Arial" w:hAnsi="Arial" w:cs="Arial"/>
                <w:i/>
                <w:iCs/>
                <w:sz w:val="18"/>
                <w:szCs w:val="16"/>
                <w:lang w:eastAsia="es-CR"/>
              </w:rPr>
              <w:t>$31.000</w:t>
            </w:r>
            <w:r w:rsidRPr="00B32F94">
              <w:rPr>
                <w:rFonts w:ascii="Arial" w:hAnsi="Arial" w:cs="Arial"/>
                <w:i/>
                <w:iCs/>
                <w:sz w:val="18"/>
                <w:szCs w:val="16"/>
                <w:lang w:eastAsia="es-CR"/>
              </w:rPr>
              <w:t>,00</w:t>
            </w:r>
          </w:p>
        </w:tc>
      </w:tr>
      <w:tr w:rsidR="00D93170" w:rsidRPr="004069B9" w:rsidTr="00293680">
        <w:trPr>
          <w:trHeight w:val="255"/>
          <w:jc w:val="center"/>
        </w:trPr>
        <w:tc>
          <w:tcPr>
            <w:tcW w:w="4660" w:type="dxa"/>
            <w:gridSpan w:val="2"/>
            <w:tcBorders>
              <w:top w:val="nil"/>
              <w:left w:val="single" w:sz="8" w:space="0" w:color="auto"/>
              <w:bottom w:val="nil"/>
              <w:right w:val="single" w:sz="8" w:space="0" w:color="auto"/>
            </w:tcBorders>
          </w:tcPr>
          <w:p w:rsidR="00D93170" w:rsidRPr="002B1CC8" w:rsidRDefault="00D93170" w:rsidP="002B1CC8">
            <w:pPr>
              <w:spacing w:after="0" w:line="240" w:lineRule="auto"/>
              <w:rPr>
                <w:rFonts w:ascii="Arial" w:hAnsi="Arial" w:cs="Arial"/>
                <w:i/>
                <w:iCs/>
                <w:sz w:val="18"/>
                <w:szCs w:val="18"/>
                <w:lang w:eastAsia="es-CR"/>
              </w:rPr>
            </w:pPr>
            <w:r w:rsidRPr="002B1CC8">
              <w:rPr>
                <w:rFonts w:ascii="Arial" w:hAnsi="Arial" w:cs="Arial"/>
                <w:i/>
                <w:iCs/>
                <w:sz w:val="18"/>
                <w:szCs w:val="18"/>
                <w:lang w:eastAsia="es-CR"/>
              </w:rPr>
              <w:t>Common services</w:t>
            </w:r>
          </w:p>
        </w:tc>
        <w:tc>
          <w:tcPr>
            <w:tcW w:w="2140" w:type="dxa"/>
            <w:tcBorders>
              <w:top w:val="nil"/>
              <w:left w:val="nil"/>
              <w:bottom w:val="nil"/>
              <w:right w:val="single" w:sz="8" w:space="0" w:color="auto"/>
            </w:tcBorders>
          </w:tcPr>
          <w:p w:rsidR="00D93170" w:rsidRPr="00B32F94" w:rsidRDefault="00D93170" w:rsidP="001B520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$3.300,00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i/>
                <w:iCs/>
                <w:sz w:val="18"/>
                <w:szCs w:val="18"/>
                <w:lang w:eastAsia="es-CR"/>
              </w:rPr>
            </w:pPr>
            <w:r w:rsidRPr="002B1CC8">
              <w:rPr>
                <w:rFonts w:ascii="Arial" w:hAnsi="Arial" w:cs="Arial"/>
                <w:i/>
                <w:iCs/>
                <w:sz w:val="18"/>
                <w:szCs w:val="18"/>
                <w:lang w:eastAsia="es-CR"/>
              </w:rPr>
              <w:t>Supplies</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$6.700,00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Research studies</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sz w:val="18"/>
                <w:szCs w:val="20"/>
                <w:lang w:eastAsia="es-CR"/>
              </w:rPr>
            </w:pPr>
            <w:r w:rsidRPr="00B32F94">
              <w:rPr>
                <w:rFonts w:ascii="Arial" w:hAnsi="Arial" w:cs="Arial"/>
                <w:sz w:val="18"/>
                <w:szCs w:val="20"/>
                <w:lang w:eastAsia="es-CR"/>
              </w:rPr>
              <w:t>$1.000,00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Documents and translation</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sz w:val="18"/>
                <w:szCs w:val="20"/>
                <w:lang w:eastAsia="es-CR"/>
              </w:rPr>
            </w:pPr>
            <w:r w:rsidRPr="00B32F94">
              <w:rPr>
                <w:rFonts w:ascii="Arial" w:hAnsi="Arial" w:cs="Arial"/>
                <w:sz w:val="18"/>
                <w:szCs w:val="20"/>
                <w:lang w:eastAsia="es-CR"/>
              </w:rPr>
              <w:t>$6.000,00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Travel and per diem</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sz w:val="18"/>
                <w:szCs w:val="20"/>
                <w:lang w:eastAsia="es-CR"/>
              </w:rPr>
            </w:pPr>
            <w:r w:rsidRPr="00B32F94">
              <w:rPr>
                <w:rFonts w:ascii="Arial" w:hAnsi="Arial" w:cs="Arial"/>
                <w:sz w:val="18"/>
                <w:szCs w:val="20"/>
                <w:lang w:eastAsia="es-CR"/>
              </w:rPr>
              <w:t>$13.945,00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sz w:val="18"/>
                <w:szCs w:val="18"/>
                <w:lang w:eastAsia="es-CR"/>
              </w:rPr>
            </w:pPr>
            <w:r w:rsidRPr="002B1CC8">
              <w:rPr>
                <w:rFonts w:ascii="Arial" w:hAnsi="Arial" w:cs="Arial"/>
                <w:sz w:val="18"/>
                <w:szCs w:val="18"/>
                <w:lang w:eastAsia="es-CR"/>
              </w:rPr>
              <w:t>Unforeseen expenses</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sz w:val="18"/>
                <w:szCs w:val="20"/>
                <w:lang w:eastAsia="es-CR"/>
              </w:rPr>
            </w:pPr>
            <w:r>
              <w:rPr>
                <w:rFonts w:ascii="Arial" w:hAnsi="Arial" w:cs="Arial"/>
                <w:sz w:val="18"/>
                <w:szCs w:val="20"/>
                <w:lang w:eastAsia="es-CR"/>
              </w:rPr>
              <w:t>$2</w:t>
            </w:r>
            <w:r w:rsidRPr="00B32F94">
              <w:rPr>
                <w:rFonts w:ascii="Arial" w:hAnsi="Arial" w:cs="Arial"/>
                <w:sz w:val="18"/>
                <w:szCs w:val="20"/>
                <w:lang w:eastAsia="es-CR"/>
              </w:rPr>
              <w:t>.000,00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b/>
                <w:bCs/>
                <w:i/>
                <w:iCs/>
                <w:sz w:val="18"/>
                <w:szCs w:val="18"/>
                <w:lang w:eastAsia="es-CR"/>
              </w:rPr>
            </w:pPr>
            <w:r w:rsidRPr="002B1CC8">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b/>
                <w:bCs/>
                <w:sz w:val="18"/>
                <w:szCs w:val="20"/>
                <w:lang w:eastAsia="es-CR"/>
              </w:rPr>
            </w:pPr>
            <w:r>
              <w:rPr>
                <w:rFonts w:ascii="Arial" w:hAnsi="Arial" w:cs="Arial"/>
                <w:b/>
                <w:bCs/>
                <w:sz w:val="18"/>
                <w:szCs w:val="20"/>
                <w:lang w:eastAsia="es-CR"/>
              </w:rPr>
              <w:t>$108.94</w:t>
            </w:r>
            <w:r w:rsidRPr="00B32F94">
              <w:rPr>
                <w:rFonts w:ascii="Arial" w:hAnsi="Arial" w:cs="Arial"/>
                <w:b/>
                <w:bCs/>
                <w:sz w:val="18"/>
                <w:szCs w:val="20"/>
                <w:lang w:eastAsia="es-CR"/>
              </w:rPr>
              <w:t>5,00</w:t>
            </w:r>
          </w:p>
        </w:tc>
      </w:tr>
      <w:tr w:rsidR="00D93170" w:rsidRPr="004069B9" w:rsidTr="00293680">
        <w:trPr>
          <w:trHeight w:val="270"/>
          <w:jc w:val="center"/>
        </w:trPr>
        <w:tc>
          <w:tcPr>
            <w:tcW w:w="4660" w:type="dxa"/>
            <w:gridSpan w:val="2"/>
            <w:tcBorders>
              <w:top w:val="nil"/>
              <w:left w:val="single" w:sz="8" w:space="0" w:color="auto"/>
              <w:bottom w:val="single" w:sz="8" w:space="0" w:color="auto"/>
              <w:right w:val="single" w:sz="8" w:space="0" w:color="auto"/>
            </w:tcBorders>
          </w:tcPr>
          <w:p w:rsidR="00D93170" w:rsidRPr="002B1CC8" w:rsidRDefault="00D93170" w:rsidP="002B1CC8">
            <w:pPr>
              <w:spacing w:after="0" w:line="240" w:lineRule="auto"/>
              <w:rPr>
                <w:rFonts w:ascii="Arial" w:hAnsi="Arial" w:cs="Arial"/>
                <w:b/>
                <w:bCs/>
                <w:i/>
                <w:iCs/>
                <w:sz w:val="18"/>
                <w:szCs w:val="18"/>
                <w:lang w:eastAsia="es-CR"/>
              </w:rPr>
            </w:pPr>
            <w:r w:rsidRPr="002B1CC8">
              <w:rPr>
                <w:rFonts w:ascii="Arial" w:hAnsi="Arial" w:cs="Arial"/>
                <w:b/>
                <w:bCs/>
                <w:i/>
                <w:iCs/>
                <w:sz w:val="18"/>
                <w:szCs w:val="18"/>
                <w:lang w:eastAsia="es-CR"/>
              </w:rPr>
              <w:t>Total</w:t>
            </w:r>
          </w:p>
        </w:tc>
        <w:tc>
          <w:tcPr>
            <w:tcW w:w="2140" w:type="dxa"/>
            <w:tcBorders>
              <w:top w:val="nil"/>
              <w:left w:val="nil"/>
              <w:bottom w:val="single" w:sz="8" w:space="0" w:color="auto"/>
              <w:right w:val="single" w:sz="8" w:space="0" w:color="auto"/>
            </w:tcBorders>
          </w:tcPr>
          <w:p w:rsidR="00D93170" w:rsidRPr="00B32F94" w:rsidRDefault="00D93170" w:rsidP="001B5205">
            <w:pPr>
              <w:spacing w:after="0" w:line="240" w:lineRule="auto"/>
              <w:jc w:val="right"/>
              <w:rPr>
                <w:rFonts w:ascii="Arial" w:hAnsi="Arial" w:cs="Arial"/>
                <w:b/>
                <w:bCs/>
                <w:sz w:val="18"/>
                <w:szCs w:val="20"/>
                <w:lang w:eastAsia="es-CR"/>
              </w:rPr>
            </w:pPr>
            <w:r>
              <w:rPr>
                <w:rFonts w:ascii="Arial" w:hAnsi="Arial" w:cs="Arial"/>
                <w:b/>
                <w:bCs/>
                <w:sz w:val="18"/>
                <w:szCs w:val="20"/>
                <w:lang w:eastAsia="es-CR"/>
              </w:rPr>
              <w:t>$282</w:t>
            </w:r>
            <w:r w:rsidRPr="00B32F94">
              <w:rPr>
                <w:rFonts w:ascii="Arial" w:hAnsi="Arial" w:cs="Arial"/>
                <w:b/>
                <w:bCs/>
                <w:sz w:val="18"/>
                <w:szCs w:val="20"/>
                <w:lang w:eastAsia="es-CR"/>
              </w:rPr>
              <w:t>.7</w:t>
            </w:r>
            <w:r>
              <w:rPr>
                <w:rFonts w:ascii="Arial" w:hAnsi="Arial" w:cs="Arial"/>
                <w:b/>
                <w:bCs/>
                <w:sz w:val="18"/>
                <w:szCs w:val="20"/>
                <w:lang w:eastAsia="es-CR"/>
              </w:rPr>
              <w:t>2</w:t>
            </w:r>
            <w:r w:rsidRPr="00B32F94">
              <w:rPr>
                <w:rFonts w:ascii="Arial" w:hAnsi="Arial" w:cs="Arial"/>
                <w:b/>
                <w:bCs/>
                <w:sz w:val="18"/>
                <w:szCs w:val="20"/>
                <w:lang w:eastAsia="es-CR"/>
              </w:rPr>
              <w:t>4,00</w:t>
            </w:r>
          </w:p>
        </w:tc>
      </w:tr>
    </w:tbl>
    <w:p w:rsidR="00D93170" w:rsidRPr="004A0809" w:rsidRDefault="00D93170" w:rsidP="00293680">
      <w:pPr>
        <w:rPr>
          <w:rFonts w:ascii="Arial" w:hAnsi="Arial" w:cs="Arial"/>
          <w:sz w:val="20"/>
          <w:szCs w:val="20"/>
          <w:lang w:val="en-US"/>
        </w:rPr>
      </w:pPr>
      <w:bookmarkStart w:id="3" w:name="RANGE!A31"/>
      <w:bookmarkEnd w:id="3"/>
    </w:p>
    <w:sectPr w:rsidR="00D93170" w:rsidRPr="004A0809" w:rsidSect="00C836F8">
      <w:headerReference w:type="default" r:id="rId7"/>
      <w:type w:val="continuous"/>
      <w:pgSz w:w="12240" w:h="15840"/>
      <w:pgMar w:top="851" w:right="1701" w:bottom="2410"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170" w:rsidRDefault="00D93170" w:rsidP="00B32F94">
      <w:pPr>
        <w:spacing w:after="0" w:line="240" w:lineRule="auto"/>
      </w:pPr>
      <w:r>
        <w:separator/>
      </w:r>
    </w:p>
  </w:endnote>
  <w:endnote w:type="continuationSeparator" w:id="0">
    <w:p w:rsidR="00D93170" w:rsidRDefault="00D93170" w:rsidP="00B32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170" w:rsidRDefault="00D93170" w:rsidP="00B32F94">
      <w:pPr>
        <w:spacing w:after="0" w:line="240" w:lineRule="auto"/>
      </w:pPr>
      <w:r>
        <w:separator/>
      </w:r>
    </w:p>
  </w:footnote>
  <w:footnote w:type="continuationSeparator" w:id="0">
    <w:p w:rsidR="00D93170" w:rsidRDefault="00D93170" w:rsidP="00B32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70" w:rsidRDefault="00D93170" w:rsidP="00834513">
    <w:pPr>
      <w:pStyle w:val="Header"/>
      <w:jc w:val="center"/>
    </w:pPr>
    <w:r w:rsidRPr="009009B3">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alt="logo CRM transparente.gif" style="width:145.5pt;height: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15D0"/>
    <w:multiLevelType w:val="hybridMultilevel"/>
    <w:tmpl w:val="CD76C63C"/>
    <w:lvl w:ilvl="0" w:tplc="BBD6AC9C">
      <w:start w:val="1"/>
      <w:numFmt w:val="decimal"/>
      <w:lvlText w:val="%1."/>
      <w:lvlJc w:val="left"/>
      <w:pPr>
        <w:ind w:left="720" w:hanging="360"/>
      </w:pPr>
      <w:rPr>
        <w:rFonts w:cs="Times New Roman" w:hint="default"/>
        <w:sz w:val="18"/>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
    <w:nsid w:val="6F014856"/>
    <w:multiLevelType w:val="hybridMultilevel"/>
    <w:tmpl w:val="5FBE7C66"/>
    <w:lvl w:ilvl="0" w:tplc="C0CA9CBC">
      <w:start w:val="2003"/>
      <w:numFmt w:val="bullet"/>
      <w:lvlText w:val=""/>
      <w:lvlJc w:val="left"/>
      <w:pPr>
        <w:ind w:left="720" w:hanging="360"/>
      </w:pPr>
      <w:rPr>
        <w:rFonts w:ascii="Symbol" w:eastAsia="Times New Roman"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9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DC5"/>
    <w:rsid w:val="0004174F"/>
    <w:rsid w:val="000537F5"/>
    <w:rsid w:val="00155502"/>
    <w:rsid w:val="00167988"/>
    <w:rsid w:val="00181223"/>
    <w:rsid w:val="00195D32"/>
    <w:rsid w:val="001B5205"/>
    <w:rsid w:val="001E314C"/>
    <w:rsid w:val="001E7C7F"/>
    <w:rsid w:val="0027364D"/>
    <w:rsid w:val="00293680"/>
    <w:rsid w:val="002B1CC8"/>
    <w:rsid w:val="00315100"/>
    <w:rsid w:val="00335CEB"/>
    <w:rsid w:val="0035003B"/>
    <w:rsid w:val="003A71A5"/>
    <w:rsid w:val="003B2EBB"/>
    <w:rsid w:val="003D7F9B"/>
    <w:rsid w:val="004069B9"/>
    <w:rsid w:val="0041079C"/>
    <w:rsid w:val="00417633"/>
    <w:rsid w:val="00493976"/>
    <w:rsid w:val="004A0809"/>
    <w:rsid w:val="004D033C"/>
    <w:rsid w:val="005F4DC5"/>
    <w:rsid w:val="00672FC8"/>
    <w:rsid w:val="006B7055"/>
    <w:rsid w:val="007268C8"/>
    <w:rsid w:val="00737152"/>
    <w:rsid w:val="0078444D"/>
    <w:rsid w:val="007C405A"/>
    <w:rsid w:val="008108CC"/>
    <w:rsid w:val="00834513"/>
    <w:rsid w:val="009009B3"/>
    <w:rsid w:val="009B37E7"/>
    <w:rsid w:val="00A005FA"/>
    <w:rsid w:val="00A022FC"/>
    <w:rsid w:val="00A5001B"/>
    <w:rsid w:val="00A81B46"/>
    <w:rsid w:val="00AA23C4"/>
    <w:rsid w:val="00B32F94"/>
    <w:rsid w:val="00B33935"/>
    <w:rsid w:val="00BA08DF"/>
    <w:rsid w:val="00C450EF"/>
    <w:rsid w:val="00C56983"/>
    <w:rsid w:val="00C836F8"/>
    <w:rsid w:val="00C97BC0"/>
    <w:rsid w:val="00D155CA"/>
    <w:rsid w:val="00D93170"/>
    <w:rsid w:val="00E23755"/>
    <w:rsid w:val="00EA154C"/>
    <w:rsid w:val="00F656BC"/>
    <w:rsid w:val="00F85A69"/>
    <w:rsid w:val="00FA2492"/>
    <w:rsid w:val="00FC33E4"/>
    <w:rsid w:val="00FE7AC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00"/>
    <w:pPr>
      <w:spacing w:after="200" w:line="276" w:lineRule="auto"/>
    </w:pPr>
    <w:rPr>
      <w:lang w:val="es-C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F4DC5"/>
    <w:rPr>
      <w:rFonts w:cs="Times New Roman"/>
      <w:color w:val="0000FF"/>
      <w:u w:val="single"/>
    </w:rPr>
  </w:style>
  <w:style w:type="paragraph" w:styleId="ListParagraph">
    <w:name w:val="List Paragraph"/>
    <w:basedOn w:val="Normal"/>
    <w:uiPriority w:val="99"/>
    <w:qFormat/>
    <w:rsid w:val="00F85A69"/>
    <w:pPr>
      <w:ind w:left="720"/>
      <w:contextualSpacing/>
    </w:pPr>
  </w:style>
  <w:style w:type="paragraph" w:styleId="Header">
    <w:name w:val="header"/>
    <w:basedOn w:val="Normal"/>
    <w:link w:val="HeaderChar"/>
    <w:uiPriority w:val="99"/>
    <w:rsid w:val="00B32F94"/>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F94"/>
    <w:rPr>
      <w:rFonts w:cs="Times New Roman"/>
    </w:rPr>
  </w:style>
  <w:style w:type="paragraph" w:styleId="Footer">
    <w:name w:val="footer"/>
    <w:basedOn w:val="Normal"/>
    <w:link w:val="FooterChar"/>
    <w:uiPriority w:val="99"/>
    <w:semiHidden/>
    <w:rsid w:val="00B32F94"/>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B32F94"/>
    <w:rPr>
      <w:rFonts w:cs="Times New Roman"/>
    </w:rPr>
  </w:style>
  <w:style w:type="paragraph" w:styleId="BalloonText">
    <w:name w:val="Balloon Text"/>
    <w:basedOn w:val="Normal"/>
    <w:link w:val="BalloonTextChar"/>
    <w:uiPriority w:val="99"/>
    <w:semiHidden/>
    <w:rsid w:val="00B3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1006105">
      <w:marLeft w:val="0"/>
      <w:marRight w:val="0"/>
      <w:marTop w:val="0"/>
      <w:marBottom w:val="0"/>
      <w:divBdr>
        <w:top w:val="none" w:sz="0" w:space="0" w:color="auto"/>
        <w:left w:val="none" w:sz="0" w:space="0" w:color="auto"/>
        <w:bottom w:val="none" w:sz="0" w:space="0" w:color="auto"/>
        <w:right w:val="none" w:sz="0" w:space="0" w:color="auto"/>
      </w:divBdr>
    </w:div>
    <w:div w:id="1611006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1</Pages>
  <Words>251</Words>
  <Characters>1386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RODAS Renán</dc:creator>
  <cp:keywords/>
  <dc:description/>
  <cp:lastModifiedBy>Jorge Peraza-Breedy</cp:lastModifiedBy>
  <cp:revision>36</cp:revision>
  <dcterms:created xsi:type="dcterms:W3CDTF">2011-11-24T14:27:00Z</dcterms:created>
  <dcterms:modified xsi:type="dcterms:W3CDTF">2012-06-21T17:04:00Z</dcterms:modified>
</cp:coreProperties>
</file>